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46872" w14:textId="77777777" w:rsidR="00471B37" w:rsidRDefault="00471B37" w:rsidP="00471B37">
      <w:pPr>
        <w:jc w:val="both"/>
        <w:rPr>
          <w:rFonts w:ascii="Calibri" w:hAnsi="Calibri" w:cs="Calibri"/>
          <w:b/>
          <w:sz w:val="32"/>
          <w:szCs w:val="32"/>
        </w:rPr>
      </w:pPr>
    </w:p>
    <w:p w14:paraId="57D7C69D" w14:textId="1F478A38" w:rsidR="009950B1" w:rsidRDefault="009950B1" w:rsidP="00471B37">
      <w:pPr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Superintendencia de Casinos de Juego</w:t>
      </w:r>
      <w:r w:rsidR="00471B37">
        <w:rPr>
          <w:rFonts w:ascii="Calibri" w:hAnsi="Calibri" w:cs="Calibri"/>
          <w:b/>
          <w:sz w:val="32"/>
          <w:szCs w:val="32"/>
        </w:rPr>
        <w:t xml:space="preserve"> y Ministerio Público </w:t>
      </w:r>
      <w:r>
        <w:rPr>
          <w:rFonts w:ascii="Calibri" w:hAnsi="Calibri" w:cs="Calibri"/>
          <w:b/>
          <w:sz w:val="32"/>
          <w:szCs w:val="32"/>
        </w:rPr>
        <w:t xml:space="preserve">suscriben convenio </w:t>
      </w:r>
      <w:r w:rsidR="00471B37">
        <w:rPr>
          <w:rFonts w:ascii="Calibri" w:hAnsi="Calibri" w:cs="Calibri"/>
          <w:b/>
          <w:sz w:val="32"/>
          <w:szCs w:val="32"/>
        </w:rPr>
        <w:t>de colaboración</w:t>
      </w:r>
    </w:p>
    <w:p w14:paraId="73E88D37" w14:textId="63B5D4B3" w:rsidR="00655249" w:rsidRPr="00655249" w:rsidRDefault="00655249" w:rsidP="00655249">
      <w:pPr>
        <w:pStyle w:val="Prrafodelista"/>
        <w:numPr>
          <w:ilvl w:val="0"/>
          <w:numId w:val="5"/>
        </w:numPr>
        <w:ind w:left="284" w:hanging="284"/>
        <w:rPr>
          <w:rFonts w:cstheme="minorHAnsi"/>
        </w:rPr>
      </w:pPr>
      <w:r w:rsidRPr="00655249">
        <w:rPr>
          <w:rFonts w:cstheme="minorHAnsi"/>
          <w:b/>
          <w:i/>
        </w:rPr>
        <w:t>Entre las iniciativas que se pretenden impulsar</w:t>
      </w:r>
      <w:r w:rsidR="00CE1679">
        <w:rPr>
          <w:rFonts w:cstheme="minorHAnsi"/>
          <w:b/>
          <w:i/>
        </w:rPr>
        <w:t xml:space="preserve"> se </w:t>
      </w:r>
      <w:r w:rsidRPr="00655249">
        <w:rPr>
          <w:rFonts w:cstheme="minorHAnsi"/>
          <w:b/>
          <w:i/>
        </w:rPr>
        <w:t>encuentran generar una instancia de retroalimentación, principalmente en lo que respecta a denuncias y a investigaciones formalizadas por los delitos asociados a la explotación ilegal de juegos de azar, fraudes en el desarrollo de los juegos o infracción a los reglamentos en materia de juegos o diversiones dentro de las poblaciones, entre otros, de acuerdo con lo establecido en el Código Penal</w:t>
      </w:r>
      <w:r w:rsidRPr="00655249">
        <w:rPr>
          <w:rFonts w:cstheme="minorHAnsi"/>
        </w:rPr>
        <w:t xml:space="preserve">. </w:t>
      </w:r>
    </w:p>
    <w:p w14:paraId="5B153018" w14:textId="77777777" w:rsidR="00655249" w:rsidRDefault="00655249" w:rsidP="009950B1"/>
    <w:p w14:paraId="4F9A49E7" w14:textId="3007D123" w:rsidR="00A311F6" w:rsidRDefault="0089454D" w:rsidP="00B93983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2A35FEAD" wp14:editId="1949672C">
            <wp:extent cx="5685790" cy="3790527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7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70AC44" w14:textId="77777777" w:rsidR="00A311F6" w:rsidRDefault="00A311F6" w:rsidP="00B93983">
      <w:pPr>
        <w:spacing w:after="0" w:line="240" w:lineRule="auto"/>
        <w:jc w:val="both"/>
        <w:rPr>
          <w:rFonts w:cstheme="minorHAnsi"/>
        </w:rPr>
      </w:pPr>
    </w:p>
    <w:p w14:paraId="5D60377E" w14:textId="6D11FF01" w:rsidR="00B93983" w:rsidRPr="00B93983" w:rsidRDefault="00042AEF" w:rsidP="00B93983">
      <w:pPr>
        <w:spacing w:after="0" w:line="240" w:lineRule="auto"/>
        <w:jc w:val="both"/>
        <w:rPr>
          <w:rFonts w:cstheme="minorHAnsi"/>
        </w:rPr>
      </w:pPr>
      <w:r w:rsidRPr="00B93983">
        <w:rPr>
          <w:rFonts w:cstheme="minorHAnsi"/>
        </w:rPr>
        <w:t xml:space="preserve">El Fiscal Nacional, Jorge Abbott Charme y la </w:t>
      </w:r>
      <w:proofErr w:type="spellStart"/>
      <w:r w:rsidRPr="00B93983">
        <w:rPr>
          <w:rFonts w:cstheme="minorHAnsi"/>
        </w:rPr>
        <w:t>Superintendenta</w:t>
      </w:r>
      <w:proofErr w:type="spellEnd"/>
      <w:r w:rsidRPr="00B93983">
        <w:rPr>
          <w:rFonts w:cstheme="minorHAnsi"/>
        </w:rPr>
        <w:t xml:space="preserve"> de Casinos de Juego, Vivien Villagrán Acuña, firmaron un convenio </w:t>
      </w:r>
      <w:r w:rsidR="00B93983">
        <w:rPr>
          <w:rFonts w:cstheme="minorHAnsi"/>
        </w:rPr>
        <w:t xml:space="preserve">de </w:t>
      </w:r>
      <w:r w:rsidRPr="00B93983">
        <w:rPr>
          <w:rFonts w:cstheme="minorHAnsi"/>
        </w:rPr>
        <w:t xml:space="preserve">colaboración, que permitirá desarrollar proyectos para el </w:t>
      </w:r>
      <w:r w:rsidR="008F5685" w:rsidRPr="00B93983">
        <w:rPr>
          <w:rFonts w:cstheme="minorHAnsi"/>
        </w:rPr>
        <w:t>inter</w:t>
      </w:r>
      <w:r w:rsidR="00392F82" w:rsidRPr="00B93983">
        <w:rPr>
          <w:rFonts w:cstheme="minorHAnsi"/>
        </w:rPr>
        <w:t>cambio</w:t>
      </w:r>
      <w:r w:rsidR="00011C3F" w:rsidRPr="00B93983">
        <w:rPr>
          <w:rFonts w:cstheme="minorHAnsi"/>
        </w:rPr>
        <w:t xml:space="preserve"> permanente y seguro de información</w:t>
      </w:r>
      <w:r w:rsidRPr="00B93983">
        <w:rPr>
          <w:rFonts w:cstheme="minorHAnsi"/>
        </w:rPr>
        <w:t xml:space="preserve"> y la capacitación de funcionarios de ambas instituciones. </w:t>
      </w:r>
    </w:p>
    <w:p w14:paraId="4F3DD170" w14:textId="77777777" w:rsidR="00B93983" w:rsidRPr="00B93983" w:rsidRDefault="00B93983" w:rsidP="00B93983">
      <w:pPr>
        <w:spacing w:after="0" w:line="240" w:lineRule="auto"/>
        <w:jc w:val="both"/>
        <w:rPr>
          <w:rFonts w:cstheme="minorHAnsi"/>
        </w:rPr>
      </w:pPr>
    </w:p>
    <w:p w14:paraId="11988869" w14:textId="77777777" w:rsidR="00B93983" w:rsidRPr="00B93983" w:rsidRDefault="00B93983" w:rsidP="00B93983">
      <w:pPr>
        <w:spacing w:after="0" w:line="240" w:lineRule="auto"/>
        <w:jc w:val="both"/>
        <w:rPr>
          <w:rFonts w:cstheme="minorHAnsi"/>
        </w:rPr>
      </w:pPr>
      <w:r w:rsidRPr="00B93983">
        <w:rPr>
          <w:rFonts w:cstheme="minorHAnsi"/>
        </w:rPr>
        <w:t>E</w:t>
      </w:r>
      <w:r w:rsidR="00901AEA" w:rsidRPr="00B93983">
        <w:rPr>
          <w:rFonts w:cstheme="minorHAnsi"/>
        </w:rPr>
        <w:t>l convenio fue suscrito en consideración</w:t>
      </w:r>
      <w:r w:rsidR="00042AEF" w:rsidRPr="00B93983">
        <w:rPr>
          <w:rFonts w:cstheme="minorHAnsi"/>
        </w:rPr>
        <w:t xml:space="preserve"> </w:t>
      </w:r>
      <w:r w:rsidR="00901AEA" w:rsidRPr="00B93983">
        <w:rPr>
          <w:rFonts w:cstheme="minorHAnsi"/>
        </w:rPr>
        <w:t>al principio</w:t>
      </w:r>
      <w:r w:rsidR="00042AEF" w:rsidRPr="00B93983">
        <w:rPr>
          <w:rFonts w:cstheme="minorHAnsi"/>
        </w:rPr>
        <w:t xml:space="preserve"> de colaboración que debe caracterizar las relaciones entre los distintos organismos que desarrollan funciones públicas</w:t>
      </w:r>
      <w:r w:rsidR="00901AEA" w:rsidRPr="00B93983">
        <w:rPr>
          <w:rFonts w:cstheme="minorHAnsi"/>
        </w:rPr>
        <w:t xml:space="preserve">, así como en el cumplimiento de sus misiones y objetivos interinstitucionales, estableciendo además la posibilidad </w:t>
      </w:r>
      <w:r w:rsidRPr="00B93983">
        <w:rPr>
          <w:rFonts w:cstheme="minorHAnsi"/>
        </w:rPr>
        <w:t>de intercambiar buenas prácticas e</w:t>
      </w:r>
      <w:r w:rsidR="00042AEF" w:rsidRPr="00B93983">
        <w:rPr>
          <w:rFonts w:cstheme="minorHAnsi"/>
        </w:rPr>
        <w:t>n materia de investigación patrimonial</w:t>
      </w:r>
      <w:r w:rsidRPr="00B93983">
        <w:rPr>
          <w:rFonts w:cstheme="minorHAnsi"/>
        </w:rPr>
        <w:t xml:space="preserve"> y la </w:t>
      </w:r>
      <w:r w:rsidR="00042AEF" w:rsidRPr="00B93983">
        <w:rPr>
          <w:rFonts w:cstheme="minorHAnsi"/>
        </w:rPr>
        <w:t>generación y tratamiento de bases de datos y sistemas desarrollados en sus respectivos ámbitos de competencia</w:t>
      </w:r>
      <w:r w:rsidRPr="00B93983">
        <w:rPr>
          <w:rFonts w:cstheme="minorHAnsi"/>
        </w:rPr>
        <w:t>.</w:t>
      </w:r>
    </w:p>
    <w:p w14:paraId="23B5EC01" w14:textId="77777777" w:rsidR="00B93983" w:rsidRPr="00B93983" w:rsidRDefault="00B93983" w:rsidP="00B93983">
      <w:pPr>
        <w:spacing w:after="0" w:line="240" w:lineRule="auto"/>
        <w:jc w:val="both"/>
        <w:rPr>
          <w:rFonts w:cstheme="minorHAnsi"/>
        </w:rPr>
      </w:pPr>
    </w:p>
    <w:p w14:paraId="4650E0DC" w14:textId="3FD2DB7C" w:rsidR="00F0454E" w:rsidRPr="00F0454E" w:rsidRDefault="00B93983" w:rsidP="00F0454E">
      <w:pPr>
        <w:spacing w:after="0" w:line="240" w:lineRule="auto"/>
        <w:jc w:val="both"/>
        <w:rPr>
          <w:rFonts w:cstheme="minorHAnsi"/>
        </w:rPr>
      </w:pPr>
      <w:r w:rsidRPr="00B93983">
        <w:rPr>
          <w:rFonts w:cstheme="minorHAnsi"/>
        </w:rPr>
        <w:t>Entre las iniciativas</w:t>
      </w:r>
      <w:r>
        <w:rPr>
          <w:rFonts w:cstheme="minorHAnsi"/>
        </w:rPr>
        <w:t xml:space="preserve"> que se </w:t>
      </w:r>
      <w:r w:rsidR="00655249">
        <w:rPr>
          <w:rFonts w:cstheme="minorHAnsi"/>
        </w:rPr>
        <w:t xml:space="preserve">pretenden </w:t>
      </w:r>
      <w:r>
        <w:rPr>
          <w:rFonts w:cstheme="minorHAnsi"/>
        </w:rPr>
        <w:t>impulsar en el marco del acuerdo de colaboración se encuentran generar una instancia de retroalimentación</w:t>
      </w:r>
      <w:r w:rsidRPr="00F0454E">
        <w:rPr>
          <w:rFonts w:cstheme="minorHAnsi"/>
        </w:rPr>
        <w:t>, principalmente en lo que respecta a denuncias y a investigaciones formalizadas por los delitos</w:t>
      </w:r>
      <w:r w:rsidR="00F0454E" w:rsidRPr="00F0454E">
        <w:rPr>
          <w:rFonts w:cstheme="minorHAnsi"/>
        </w:rPr>
        <w:t xml:space="preserve"> asociados a la explotación ilegal de juegos de azar, fraudes en el desarrollo de los juegos o infracción a los reglamentos en materia de juegos o diversiones dentro de las poblaciones, entre otros, de acuerdo con lo establecido e</w:t>
      </w:r>
      <w:r w:rsidR="009366E2">
        <w:rPr>
          <w:rFonts w:cstheme="minorHAnsi"/>
        </w:rPr>
        <w:t>n</w:t>
      </w:r>
      <w:r w:rsidR="00F0454E" w:rsidRPr="00F0454E">
        <w:rPr>
          <w:rFonts w:cstheme="minorHAnsi"/>
        </w:rPr>
        <w:t xml:space="preserve"> el Código Penal. </w:t>
      </w:r>
    </w:p>
    <w:p w14:paraId="27CF24E0" w14:textId="77777777" w:rsidR="00F0454E" w:rsidRDefault="00F0454E" w:rsidP="00B93983">
      <w:pPr>
        <w:spacing w:after="0" w:line="240" w:lineRule="auto"/>
        <w:rPr>
          <w:rFonts w:ascii="Arial" w:hAnsi="Arial" w:cs="Arial"/>
        </w:rPr>
      </w:pPr>
    </w:p>
    <w:p w14:paraId="005DA963" w14:textId="77777777" w:rsidR="00396C29" w:rsidRDefault="009366E2" w:rsidP="00396C29">
      <w:pPr>
        <w:jc w:val="both"/>
        <w:rPr>
          <w:rFonts w:cstheme="minorHAnsi"/>
        </w:rPr>
      </w:pPr>
      <w:r w:rsidRPr="009366E2">
        <w:rPr>
          <w:rFonts w:cstheme="minorHAnsi"/>
        </w:rPr>
        <w:t>Además, entre otras materias, el convenio permitirá la t</w:t>
      </w:r>
      <w:r w:rsidR="00B93983" w:rsidRPr="009366E2">
        <w:rPr>
          <w:rFonts w:cstheme="minorHAnsi"/>
        </w:rPr>
        <w:t>ransmisión de experiencias entre los fiscales y profesionales del Ministerio Público y de la Superintendencia, con relación a las diversas investigaciones de determinada connotación jurídica o económica, relacionada con la competencia y ámbito regulatorio de esta última.</w:t>
      </w:r>
    </w:p>
    <w:p w14:paraId="5854798B" w14:textId="1F3F979C" w:rsidR="00396C29" w:rsidRDefault="00396C29" w:rsidP="00285547">
      <w:pPr>
        <w:jc w:val="both"/>
        <w:rPr>
          <w:rFonts w:cstheme="minorHAnsi"/>
        </w:rPr>
      </w:pPr>
      <w:r w:rsidRPr="00396C29">
        <w:rPr>
          <w:rFonts w:cstheme="minorHAnsi"/>
        </w:rPr>
        <w:lastRenderedPageBreak/>
        <w:t>El Fiscal Nacional, Jorge Abbott, sostuvo que “</w:t>
      </w:r>
      <w:r w:rsidRPr="001A687D">
        <w:rPr>
          <w:rFonts w:cstheme="minorHAnsi"/>
          <w:i/>
        </w:rPr>
        <w:t>este convenio nos permitirá estrechar los lazos y tender puentes de comunicación entre instituciones que poseen fines eminentemente complementarios, y refuerza una alianza estratégica que pretende servir de modelo para demostrar, que el trabajo conjunto y coordinado de la Administración con los fiscales del Ministerio Público permite obtener los mejores resultados a la hora de proteger los intereses de la colectividad”</w:t>
      </w:r>
      <w:r>
        <w:t>.</w:t>
      </w:r>
    </w:p>
    <w:p w14:paraId="6C8CA988" w14:textId="0C91513D" w:rsidR="00D847DE" w:rsidRDefault="00396C29" w:rsidP="00285547">
      <w:pPr>
        <w:jc w:val="both"/>
        <w:rPr>
          <w:rFonts w:cstheme="minorHAnsi"/>
          <w:i/>
        </w:rPr>
      </w:pPr>
      <w:r>
        <w:rPr>
          <w:rFonts w:cstheme="minorHAnsi"/>
        </w:rPr>
        <w:t>Por su parte, l</w:t>
      </w:r>
      <w:r w:rsidR="00285547">
        <w:rPr>
          <w:rFonts w:cstheme="minorHAnsi"/>
        </w:rPr>
        <w:t xml:space="preserve">a </w:t>
      </w:r>
      <w:proofErr w:type="spellStart"/>
      <w:r w:rsidR="00285547">
        <w:rPr>
          <w:rFonts w:cstheme="minorHAnsi"/>
        </w:rPr>
        <w:t>Superintendenta</w:t>
      </w:r>
      <w:proofErr w:type="spellEnd"/>
      <w:r w:rsidR="00285547">
        <w:rPr>
          <w:rFonts w:cstheme="minorHAnsi"/>
        </w:rPr>
        <w:t xml:space="preserve"> de Casinos de Juego, Vivien Villagrán señaló que el “</w:t>
      </w:r>
      <w:r w:rsidR="00285547" w:rsidRPr="00D847DE">
        <w:rPr>
          <w:rFonts w:cstheme="minorHAnsi"/>
          <w:i/>
        </w:rPr>
        <w:t xml:space="preserve">presente convenio viene a reforzar la política de relacionamiento interinstitucional </w:t>
      </w:r>
      <w:r w:rsidR="00D847DE" w:rsidRPr="00D847DE">
        <w:rPr>
          <w:rFonts w:cstheme="minorHAnsi"/>
          <w:i/>
        </w:rPr>
        <w:t xml:space="preserve">que está impulsando el organismo, de manera de cumplir </w:t>
      </w:r>
      <w:r w:rsidR="00D847DE">
        <w:rPr>
          <w:rFonts w:cstheme="minorHAnsi"/>
          <w:i/>
        </w:rPr>
        <w:t>adecuadamente con la misión institucional</w:t>
      </w:r>
      <w:r w:rsidR="00D847DE" w:rsidRPr="00D847DE">
        <w:rPr>
          <w:rFonts w:cstheme="minorHAnsi"/>
          <w:i/>
        </w:rPr>
        <w:t xml:space="preserve"> </w:t>
      </w:r>
      <w:r w:rsidR="00D847DE">
        <w:rPr>
          <w:rFonts w:cstheme="minorHAnsi"/>
          <w:i/>
        </w:rPr>
        <w:t>que es p</w:t>
      </w:r>
      <w:r w:rsidR="00D847DE" w:rsidRPr="00D847DE">
        <w:rPr>
          <w:rFonts w:cstheme="minorHAnsi"/>
          <w:i/>
        </w:rPr>
        <w:t>romover el desarrollo sustentable de la industria mediante el juego responsable, legal y transparente, contribuyendo al desarrollo regional</w:t>
      </w:r>
      <w:r w:rsidR="00D847DE">
        <w:rPr>
          <w:rFonts w:cstheme="minorHAnsi"/>
          <w:i/>
        </w:rPr>
        <w:t>, todo dentro de un ecosistema regulatorio, en el participen distintos organismos del Estado</w:t>
      </w:r>
      <w:r w:rsidR="00D847DE" w:rsidRPr="0095062D">
        <w:rPr>
          <w:b/>
          <w:bCs/>
        </w:rPr>
        <w:t>”.</w:t>
      </w:r>
    </w:p>
    <w:p w14:paraId="118D46B4" w14:textId="77777777" w:rsidR="00285547" w:rsidRDefault="00285547" w:rsidP="009366E2">
      <w:pPr>
        <w:jc w:val="both"/>
        <w:rPr>
          <w:rFonts w:cstheme="minorHAnsi"/>
        </w:rPr>
      </w:pPr>
    </w:p>
    <w:sectPr w:rsidR="00285547" w:rsidSect="00DD435F">
      <w:headerReference w:type="default" r:id="rId8"/>
      <w:pgSz w:w="12242" w:h="18722" w:code="119"/>
      <w:pgMar w:top="992" w:right="1644" w:bottom="992" w:left="1644" w:header="720" w:footer="72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45694" w14:textId="77777777" w:rsidR="00492CBC" w:rsidRDefault="00492CBC" w:rsidP="009950B1">
      <w:pPr>
        <w:spacing w:after="0" w:line="240" w:lineRule="auto"/>
      </w:pPr>
      <w:r>
        <w:separator/>
      </w:r>
    </w:p>
  </w:endnote>
  <w:endnote w:type="continuationSeparator" w:id="0">
    <w:p w14:paraId="35C38F04" w14:textId="77777777" w:rsidR="00492CBC" w:rsidRDefault="00492CBC" w:rsidP="00995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71907" w14:textId="77777777" w:rsidR="00492CBC" w:rsidRDefault="00492CBC" w:rsidP="009950B1">
      <w:pPr>
        <w:spacing w:after="0" w:line="240" w:lineRule="auto"/>
      </w:pPr>
      <w:r>
        <w:separator/>
      </w:r>
    </w:p>
  </w:footnote>
  <w:footnote w:type="continuationSeparator" w:id="0">
    <w:p w14:paraId="32D69A8C" w14:textId="77777777" w:rsidR="00492CBC" w:rsidRDefault="00492CBC" w:rsidP="00995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A1D7D" w14:textId="77777777" w:rsidR="009950B1" w:rsidRDefault="009950B1">
    <w:pPr>
      <w:pStyle w:val="Encabezado"/>
    </w:pPr>
    <w:r>
      <w:rPr>
        <w:noProof/>
        <w:lang w:eastAsia="es-CL"/>
      </w:rPr>
      <w:drawing>
        <wp:inline distT="0" distB="0" distL="0" distR="0" wp14:anchorId="357D7B55" wp14:editId="29F12A25">
          <wp:extent cx="1219200" cy="752475"/>
          <wp:effectExtent l="0" t="0" r="0" b="9525"/>
          <wp:docPr id="1" name="Imagen 1" descr="Fiscalía Nacional - Ministerio Públ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scalía Nacional - Ministerio Públi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s-CL"/>
      </w:rPr>
      <w:t xml:space="preserve">                                                            </w:t>
    </w:r>
    <w:r w:rsidRPr="000F2490">
      <w:rPr>
        <w:noProof/>
        <w:lang w:eastAsia="es-CL"/>
      </w:rPr>
      <w:drawing>
        <wp:inline distT="0" distB="0" distL="0" distR="0" wp14:anchorId="23EAA51C" wp14:editId="7BCCEA93">
          <wp:extent cx="2447925" cy="657225"/>
          <wp:effectExtent l="0" t="0" r="9525" b="9525"/>
          <wp:docPr id="2" name="Imagen 2" descr="SCJ_marca_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CJ_marca_principal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1A158F" w14:textId="77777777" w:rsidR="009950B1" w:rsidRDefault="009950B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819E8"/>
    <w:multiLevelType w:val="hybridMultilevel"/>
    <w:tmpl w:val="C59C91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644A7"/>
    <w:multiLevelType w:val="hybridMultilevel"/>
    <w:tmpl w:val="ED80D8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E7E68"/>
    <w:multiLevelType w:val="hybridMultilevel"/>
    <w:tmpl w:val="821E25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268C3"/>
    <w:multiLevelType w:val="hybridMultilevel"/>
    <w:tmpl w:val="1848F56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B1"/>
    <w:rsid w:val="00011C3F"/>
    <w:rsid w:val="00042AEF"/>
    <w:rsid w:val="001A687D"/>
    <w:rsid w:val="00285547"/>
    <w:rsid w:val="002929CA"/>
    <w:rsid w:val="00392F82"/>
    <w:rsid w:val="00396C29"/>
    <w:rsid w:val="003E28F0"/>
    <w:rsid w:val="003E5627"/>
    <w:rsid w:val="00405D8B"/>
    <w:rsid w:val="00471B37"/>
    <w:rsid w:val="00492CBC"/>
    <w:rsid w:val="004C7A93"/>
    <w:rsid w:val="005C047D"/>
    <w:rsid w:val="005F59DA"/>
    <w:rsid w:val="00655249"/>
    <w:rsid w:val="0070643F"/>
    <w:rsid w:val="007E297D"/>
    <w:rsid w:val="00824296"/>
    <w:rsid w:val="0089454D"/>
    <w:rsid w:val="008F5685"/>
    <w:rsid w:val="00901AEA"/>
    <w:rsid w:val="009366E2"/>
    <w:rsid w:val="009427DF"/>
    <w:rsid w:val="009950B1"/>
    <w:rsid w:val="009C493B"/>
    <w:rsid w:val="00A311F6"/>
    <w:rsid w:val="00A55687"/>
    <w:rsid w:val="00B15B04"/>
    <w:rsid w:val="00B82695"/>
    <w:rsid w:val="00B93983"/>
    <w:rsid w:val="00BC43E3"/>
    <w:rsid w:val="00C404CC"/>
    <w:rsid w:val="00CB1DE3"/>
    <w:rsid w:val="00CE1679"/>
    <w:rsid w:val="00D847DE"/>
    <w:rsid w:val="00DB2EEF"/>
    <w:rsid w:val="00DD435F"/>
    <w:rsid w:val="00EC09CE"/>
    <w:rsid w:val="00F0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25AA20"/>
  <w15:docId w15:val="{9B9D9809-23B0-4A6C-BFDE-672A38B85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50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50B1"/>
  </w:style>
  <w:style w:type="paragraph" w:styleId="Piedepgina">
    <w:name w:val="footer"/>
    <w:basedOn w:val="Normal"/>
    <w:link w:val="PiedepginaCar"/>
    <w:uiPriority w:val="99"/>
    <w:unhideWhenUsed/>
    <w:rsid w:val="009950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0B1"/>
  </w:style>
  <w:style w:type="paragraph" w:styleId="NormalWeb">
    <w:name w:val="Normal (Web)"/>
    <w:basedOn w:val="Normal"/>
    <w:uiPriority w:val="99"/>
    <w:semiHidden/>
    <w:unhideWhenUsed/>
    <w:rsid w:val="00DB2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B93983"/>
    <w:pPr>
      <w:spacing w:after="0" w:line="240" w:lineRule="auto"/>
      <w:ind w:left="720"/>
      <w:contextualSpacing/>
      <w:jc w:val="both"/>
    </w:pPr>
    <w:rPr>
      <w:rFonts w:ascii="Verdana" w:eastAsiaTheme="minorEastAsia" w:hAnsi="Verdana"/>
      <w:sz w:val="20"/>
      <w:szCs w:val="24"/>
      <w:lang w:val="es-ES_tradnl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5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54E"/>
    <w:rPr>
      <w:rFonts w:ascii="Courier New" w:eastAsia="Times New Roman" w:hAnsi="Courier New" w:cs="Courier New"/>
      <w:sz w:val="20"/>
      <w:szCs w:val="20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F0454E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404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04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04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04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04C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0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04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9148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  <w:div w:id="17427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7502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  <w:div w:id="962228192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  <w:div w:id="3328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5494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  <w:div w:id="10007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480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Valladares Acosta</dc:creator>
  <cp:lastModifiedBy>Claudia Valladares Acosta</cp:lastModifiedBy>
  <cp:revision>6</cp:revision>
  <dcterms:created xsi:type="dcterms:W3CDTF">2018-01-08T20:33:00Z</dcterms:created>
  <dcterms:modified xsi:type="dcterms:W3CDTF">2018-01-09T14:33:00Z</dcterms:modified>
</cp:coreProperties>
</file>