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79" w:rsidRDefault="00AE5679" w:rsidP="00E0320F">
      <w:pPr>
        <w:tabs>
          <w:tab w:val="left" w:pos="0"/>
        </w:tabs>
      </w:pPr>
    </w:p>
    <w:p w:rsidR="00A729EA" w:rsidRPr="00C8471D" w:rsidRDefault="00A729EA" w:rsidP="00E0320F">
      <w:pPr>
        <w:pStyle w:val="Ttulo"/>
        <w:tabs>
          <w:tab w:val="left" w:pos="0"/>
        </w:tabs>
        <w:rPr>
          <w:sz w:val="28"/>
          <w:szCs w:val="28"/>
        </w:rPr>
      </w:pPr>
      <w:r w:rsidRPr="00C8471D">
        <w:rPr>
          <w:sz w:val="28"/>
          <w:szCs w:val="28"/>
        </w:rPr>
        <w:t>Ingresos brutos de casinos registran una variación</w:t>
      </w:r>
      <w:r w:rsidR="00EE656D">
        <w:rPr>
          <w:sz w:val="28"/>
          <w:szCs w:val="28"/>
        </w:rPr>
        <w:t xml:space="preserve"> real</w:t>
      </w:r>
      <w:r w:rsidRPr="00C8471D">
        <w:rPr>
          <w:sz w:val="28"/>
          <w:szCs w:val="28"/>
        </w:rPr>
        <w:t xml:space="preserve"> mensual</w:t>
      </w:r>
      <w:r w:rsidR="00BA7A93">
        <w:rPr>
          <w:sz w:val="28"/>
          <w:szCs w:val="28"/>
        </w:rPr>
        <w:t xml:space="preserve"> </w:t>
      </w:r>
      <w:r w:rsidRPr="00C8471D">
        <w:rPr>
          <w:sz w:val="28"/>
          <w:szCs w:val="28"/>
        </w:rPr>
        <w:t xml:space="preserve">de </w:t>
      </w:r>
      <w:r w:rsidR="00EE51F5">
        <w:rPr>
          <w:sz w:val="28"/>
          <w:szCs w:val="28"/>
        </w:rPr>
        <w:t>2</w:t>
      </w:r>
      <w:r w:rsidR="00C8471D">
        <w:rPr>
          <w:sz w:val="28"/>
          <w:szCs w:val="28"/>
        </w:rPr>
        <w:t>,</w:t>
      </w:r>
      <w:r w:rsidR="00EE51F5">
        <w:rPr>
          <w:sz w:val="28"/>
          <w:szCs w:val="28"/>
        </w:rPr>
        <w:t>7</w:t>
      </w:r>
      <w:r w:rsidRPr="00C8471D">
        <w:rPr>
          <w:sz w:val="28"/>
          <w:szCs w:val="28"/>
        </w:rPr>
        <w:t>%</w:t>
      </w:r>
      <w:r w:rsidR="00C8471D">
        <w:rPr>
          <w:sz w:val="28"/>
          <w:szCs w:val="28"/>
        </w:rPr>
        <w:t xml:space="preserve"> en el mes de </w:t>
      </w:r>
      <w:r w:rsidR="00EE51F5">
        <w:rPr>
          <w:sz w:val="28"/>
          <w:szCs w:val="28"/>
        </w:rPr>
        <w:t>jul</w:t>
      </w:r>
      <w:r w:rsidR="00774921">
        <w:rPr>
          <w:sz w:val="28"/>
          <w:szCs w:val="28"/>
        </w:rPr>
        <w:t>io</w:t>
      </w:r>
      <w:r w:rsidRPr="00C8471D">
        <w:rPr>
          <w:sz w:val="28"/>
          <w:szCs w:val="28"/>
        </w:rPr>
        <w:t xml:space="preserve"> de 2016, en comparación co</w:t>
      </w:r>
      <w:r w:rsidR="00D42C6C" w:rsidRPr="00C8471D">
        <w:rPr>
          <w:sz w:val="28"/>
          <w:szCs w:val="28"/>
        </w:rPr>
        <w:t xml:space="preserve">n el mismo mes del año anterior, </w:t>
      </w:r>
      <w:r w:rsidR="00C8471D">
        <w:rPr>
          <w:sz w:val="28"/>
          <w:szCs w:val="28"/>
        </w:rPr>
        <w:t xml:space="preserve">mientras que el </w:t>
      </w:r>
      <w:r w:rsidRPr="00C8471D">
        <w:rPr>
          <w:sz w:val="28"/>
          <w:szCs w:val="28"/>
        </w:rPr>
        <w:t>crecimiento</w:t>
      </w:r>
      <w:r w:rsidR="00EE656D">
        <w:rPr>
          <w:sz w:val="28"/>
          <w:szCs w:val="28"/>
        </w:rPr>
        <w:t xml:space="preserve"> real</w:t>
      </w:r>
      <w:r w:rsidRPr="00C8471D">
        <w:rPr>
          <w:sz w:val="28"/>
          <w:szCs w:val="28"/>
        </w:rPr>
        <w:t xml:space="preserve"> acumulado </w:t>
      </w:r>
      <w:r w:rsidR="00774921">
        <w:rPr>
          <w:sz w:val="28"/>
          <w:szCs w:val="28"/>
        </w:rPr>
        <w:t>es de 5</w:t>
      </w:r>
      <w:r w:rsidR="00C8471D">
        <w:rPr>
          <w:sz w:val="28"/>
          <w:szCs w:val="28"/>
        </w:rPr>
        <w:t>,</w:t>
      </w:r>
      <w:r w:rsidR="00EE51F5">
        <w:rPr>
          <w:sz w:val="28"/>
          <w:szCs w:val="28"/>
        </w:rPr>
        <w:t>0</w:t>
      </w:r>
      <w:r w:rsidR="00D42C6C" w:rsidRPr="00C8471D">
        <w:rPr>
          <w:sz w:val="28"/>
          <w:szCs w:val="28"/>
        </w:rPr>
        <w:t>% en los últimos 12 meses</w:t>
      </w:r>
    </w:p>
    <w:p w:rsidR="00136CB0" w:rsidRPr="00B21DCE" w:rsidRDefault="00136CB0" w:rsidP="00136CB0">
      <w:pPr>
        <w:pStyle w:val="Prrafodelista"/>
        <w:numPr>
          <w:ilvl w:val="0"/>
          <w:numId w:val="2"/>
        </w:numPr>
        <w:tabs>
          <w:tab w:val="left" w:pos="0"/>
        </w:tabs>
        <w:ind w:left="284" w:hanging="284"/>
        <w:rPr>
          <w:b/>
        </w:rPr>
      </w:pPr>
      <w:r w:rsidRPr="00B21DCE">
        <w:rPr>
          <w:b/>
        </w:rPr>
        <w:t>Respecto al pago de impuestos, las Municipalidades y el Gobierno Regional percibieron un total de $ 4.500 millones por concepto de impuesto al específico al juego, mientras que por concepto de entradas se pagó al fisco la suma de $ 1.581 millones. Finalmente, por concepto de IVA, las sociedades operadoras pagaron $ 4.401 durante el mes de julio.</w:t>
      </w:r>
    </w:p>
    <w:p w:rsidR="00136CB0" w:rsidRDefault="00136CB0" w:rsidP="00E0320F">
      <w:pPr>
        <w:tabs>
          <w:tab w:val="left" w:pos="0"/>
        </w:tabs>
        <w:rPr>
          <w:b/>
        </w:rPr>
      </w:pPr>
    </w:p>
    <w:p w:rsidR="00427615" w:rsidRPr="00427615" w:rsidRDefault="00427615" w:rsidP="00E0320F">
      <w:pPr>
        <w:tabs>
          <w:tab w:val="left" w:pos="0"/>
        </w:tabs>
        <w:rPr>
          <w:b/>
        </w:rPr>
      </w:pPr>
      <w:bookmarkStart w:id="0" w:name="_GoBack"/>
      <w:r w:rsidRPr="00427615">
        <w:rPr>
          <w:b/>
        </w:rPr>
        <w:t>Resultados Generales</w:t>
      </w:r>
    </w:p>
    <w:p w:rsidR="00427615" w:rsidRDefault="00A729EA" w:rsidP="00E0320F">
      <w:pPr>
        <w:tabs>
          <w:tab w:val="left" w:pos="0"/>
        </w:tabs>
      </w:pPr>
      <w:r w:rsidRPr="00FD382C">
        <w:t xml:space="preserve">Los 16 casinos de juego que operan en el país registraron durante </w:t>
      </w:r>
      <w:r w:rsidR="00E80F2B">
        <w:t>jul</w:t>
      </w:r>
      <w:r w:rsidR="00774921">
        <w:t>io</w:t>
      </w:r>
      <w:r w:rsidRPr="00FD382C">
        <w:t xml:space="preserve"> ingresos bru</w:t>
      </w:r>
      <w:r w:rsidR="002B5C3A">
        <w:t>tos del juego (win) por $ 2</w:t>
      </w:r>
      <w:r w:rsidR="00EE51F5">
        <w:t>7</w:t>
      </w:r>
      <w:r w:rsidR="002B5C3A">
        <w:t>.</w:t>
      </w:r>
      <w:r w:rsidR="00EE51F5">
        <w:t>561</w:t>
      </w:r>
      <w:r w:rsidRPr="00FD382C">
        <w:t xml:space="preserve"> millones, lo que implica</w:t>
      </w:r>
      <w:r w:rsidR="00FD382C">
        <w:t xml:space="preserve"> una variación </w:t>
      </w:r>
      <w:r w:rsidR="008B14B4">
        <w:t>real mensual</w:t>
      </w:r>
      <w:r w:rsidR="00BA7A93" w:rsidRPr="00C8471D">
        <w:rPr>
          <w:rStyle w:val="Refdenotaalpie"/>
          <w:sz w:val="28"/>
          <w:szCs w:val="28"/>
        </w:rPr>
        <w:footnoteReference w:id="1"/>
      </w:r>
      <w:r w:rsidR="00BA7A93" w:rsidRPr="00C8471D">
        <w:rPr>
          <w:sz w:val="28"/>
          <w:szCs w:val="28"/>
        </w:rPr>
        <w:t xml:space="preserve"> </w:t>
      </w:r>
      <w:r w:rsidR="00FD382C">
        <w:t xml:space="preserve">de </w:t>
      </w:r>
      <w:r w:rsidR="00EE51F5">
        <w:t>2</w:t>
      </w:r>
      <w:r w:rsidR="00C8471D">
        <w:t>,</w:t>
      </w:r>
      <w:r w:rsidR="00EE51F5">
        <w:t>7</w:t>
      </w:r>
      <w:r w:rsidR="00FD382C">
        <w:t>%</w:t>
      </w:r>
      <w:r w:rsidR="00BA7A93" w:rsidRPr="00C8471D">
        <w:rPr>
          <w:rStyle w:val="Refdenotaalpie"/>
          <w:sz w:val="28"/>
          <w:szCs w:val="28"/>
        </w:rPr>
        <w:footnoteReference w:id="2"/>
      </w:r>
      <w:r w:rsidR="00FD382C">
        <w:t xml:space="preserve">, en comparación con </w:t>
      </w:r>
      <w:r w:rsidR="00EE51F5">
        <w:t>jul</w:t>
      </w:r>
      <w:r w:rsidR="00774921">
        <w:t>io</w:t>
      </w:r>
      <w:r w:rsidR="00FD382C">
        <w:t xml:space="preserve"> de 2105. Como resultado, la industria regulada presenta un </w:t>
      </w:r>
      <w:r w:rsidRPr="00FD382C">
        <w:t xml:space="preserve">crecimiento real </w:t>
      </w:r>
      <w:r w:rsidR="00BA7A93">
        <w:t>acumulado</w:t>
      </w:r>
      <w:r w:rsidR="00BA7A93" w:rsidRPr="00C8471D">
        <w:rPr>
          <w:rStyle w:val="Refdenotaalpie"/>
          <w:sz w:val="28"/>
          <w:szCs w:val="28"/>
        </w:rPr>
        <w:footnoteReference w:id="3"/>
      </w:r>
      <w:r w:rsidR="00FD382C">
        <w:t>de</w:t>
      </w:r>
      <w:r w:rsidR="00774921">
        <w:t xml:space="preserve"> 5</w:t>
      </w:r>
      <w:r w:rsidR="00C8471D">
        <w:t>,</w:t>
      </w:r>
      <w:r w:rsidR="00EE51F5">
        <w:t>0</w:t>
      </w:r>
      <w:r w:rsidRPr="00FD382C">
        <w:t xml:space="preserve">%, en los  últimos doce meses. </w:t>
      </w:r>
    </w:p>
    <w:p w:rsidR="00427615" w:rsidRDefault="00427615" w:rsidP="00E0320F">
      <w:pPr>
        <w:tabs>
          <w:tab w:val="left" w:pos="0"/>
        </w:tabs>
      </w:pPr>
      <w:r>
        <w:t>En los mis</w:t>
      </w:r>
      <w:r w:rsidR="002B5C3A">
        <w:t>mos términos, las 4</w:t>
      </w:r>
      <w:r w:rsidR="00EE51F5">
        <w:t>94</w:t>
      </w:r>
      <w:r w:rsidR="002B5C3A">
        <w:t>.</w:t>
      </w:r>
      <w:r w:rsidR="00774921">
        <w:t>0</w:t>
      </w:r>
      <w:r w:rsidR="00EE51F5">
        <w:t>15</w:t>
      </w:r>
      <w:r>
        <w:t xml:space="preserve"> visitas registradas a los </w:t>
      </w:r>
      <w:r w:rsidR="002B5C3A">
        <w:t>c</w:t>
      </w:r>
      <w:r>
        <w:t xml:space="preserve">asinos regulados equivalen a una variación mensual </w:t>
      </w:r>
      <w:r w:rsidR="00C8471D">
        <w:t xml:space="preserve">de </w:t>
      </w:r>
      <w:r w:rsidR="00EE51F5">
        <w:t>0</w:t>
      </w:r>
      <w:r w:rsidR="00C8471D">
        <w:t>,</w:t>
      </w:r>
      <w:r w:rsidR="00EE51F5">
        <w:t>29</w:t>
      </w:r>
      <w:r w:rsidR="00A729EA" w:rsidRPr="00FD382C">
        <w:t>% en el número de visitas</w:t>
      </w:r>
      <w:r w:rsidR="00E8098C">
        <w:t xml:space="preserve"> en comparación con </w:t>
      </w:r>
      <w:r w:rsidR="00774921">
        <w:t>ju</w:t>
      </w:r>
      <w:r w:rsidR="00EE51F5">
        <w:t>l</w:t>
      </w:r>
      <w:r w:rsidR="00774921">
        <w:t>io</w:t>
      </w:r>
      <w:r w:rsidR="00E8098C">
        <w:t xml:space="preserve"> de 2015</w:t>
      </w:r>
      <w:r w:rsidR="00A729EA" w:rsidRPr="00FD382C">
        <w:t>,</w:t>
      </w:r>
      <w:r>
        <w:t xml:space="preserve"> </w:t>
      </w:r>
      <w:r w:rsidR="00C8471D">
        <w:t>lo qu</w:t>
      </w:r>
      <w:r w:rsidR="00E8098C">
        <w:t xml:space="preserve">e implica un crecimiento del </w:t>
      </w:r>
      <w:r w:rsidR="00EE51F5">
        <w:t>1</w:t>
      </w:r>
      <w:r w:rsidR="00E8098C">
        <w:t>,</w:t>
      </w:r>
      <w:r w:rsidR="00EE51F5">
        <w:t>8</w:t>
      </w:r>
      <w:r>
        <w:t>% en los últimos 12 meses.</w:t>
      </w:r>
    </w:p>
    <w:p w:rsidR="00427615" w:rsidRDefault="00427615" w:rsidP="00E0320F">
      <w:pPr>
        <w:tabs>
          <w:tab w:val="left" w:pos="0"/>
        </w:tabs>
      </w:pPr>
      <w:r>
        <w:t>Respecto del gasto de los visitantes, durante el m</w:t>
      </w:r>
      <w:r w:rsidR="002B5C3A">
        <w:t xml:space="preserve">es de </w:t>
      </w:r>
      <w:r w:rsidR="00E80F2B">
        <w:t>jul</w:t>
      </w:r>
      <w:r w:rsidR="00F86774">
        <w:t>io</w:t>
      </w:r>
      <w:r>
        <w:t xml:space="preserve"> se regist</w:t>
      </w:r>
      <w:r w:rsidR="002B5C3A">
        <w:t xml:space="preserve">ró un gasto promedio de $ </w:t>
      </w:r>
      <w:r w:rsidR="00EE51F5">
        <w:t>55</w:t>
      </w:r>
      <w:r w:rsidR="002B5C3A">
        <w:t>.</w:t>
      </w:r>
      <w:r w:rsidR="00EE51F5">
        <w:t>791</w:t>
      </w:r>
      <w:r w:rsidR="002B5C3A">
        <w:t xml:space="preserve"> </w:t>
      </w:r>
      <w:r>
        <w:t xml:space="preserve">por visita, lo que muestra una variación mensual de </w:t>
      </w:r>
      <w:r w:rsidR="00EE51F5">
        <w:t>2</w:t>
      </w:r>
      <w:r w:rsidR="00C8471D">
        <w:t>,</w:t>
      </w:r>
      <w:r w:rsidR="00563030">
        <w:t>4</w:t>
      </w:r>
      <w:r>
        <w:t xml:space="preserve">% respecto de </w:t>
      </w:r>
      <w:r w:rsidR="00774921">
        <w:t>ju</w:t>
      </w:r>
      <w:r w:rsidR="00EE51F5">
        <w:t>l</w:t>
      </w:r>
      <w:r w:rsidR="00774921">
        <w:t>io</w:t>
      </w:r>
      <w:r>
        <w:t xml:space="preserve"> de 2015, alcanzando un crecimiento</w:t>
      </w:r>
      <w:r w:rsidR="00C8471D">
        <w:t xml:space="preserve"> acumulado real del gasto de 3,</w:t>
      </w:r>
      <w:r w:rsidR="00EE51F5">
        <w:t>1</w:t>
      </w:r>
      <w:r>
        <w:t>% en los últimos 12 meses.</w:t>
      </w:r>
    </w:p>
    <w:p w:rsidR="00427615" w:rsidRDefault="00427615" w:rsidP="00E0320F">
      <w:pPr>
        <w:tabs>
          <w:tab w:val="left" w:pos="0"/>
        </w:tabs>
      </w:pPr>
      <w:r>
        <w:t>Finalmente, respecto al pago de impuestos, las Municipalidades y el Gobierno Regiona</w:t>
      </w:r>
      <w:r w:rsidR="002B5C3A">
        <w:t>l percibieron un total de $ 4.</w:t>
      </w:r>
      <w:r w:rsidR="00EE51F5">
        <w:t>500</w:t>
      </w:r>
      <w:r>
        <w:t xml:space="preserve"> millones por concepto de impuesto al específico al juego</w:t>
      </w:r>
      <w:r w:rsidR="0004531A">
        <w:rPr>
          <w:rStyle w:val="Refdenotaalpie"/>
        </w:rPr>
        <w:footnoteReference w:id="4"/>
      </w:r>
      <w:r>
        <w:t>, mientras que por concepto de entradas se</w:t>
      </w:r>
      <w:r w:rsidR="002B5C3A">
        <w:t xml:space="preserve"> pagó al fisco la suma de $ 1.</w:t>
      </w:r>
      <w:r w:rsidR="00EE51F5">
        <w:t>581</w:t>
      </w:r>
      <w:r>
        <w:t xml:space="preserve"> millones. Finalmente, por concepto de IVA, las sociedades operadoras pagaron $</w:t>
      </w:r>
      <w:r w:rsidR="002B5C3A">
        <w:t xml:space="preserve"> </w:t>
      </w:r>
      <w:r w:rsidR="00EE51F5">
        <w:t>4</w:t>
      </w:r>
      <w:r w:rsidR="002B5C3A">
        <w:t>.</w:t>
      </w:r>
      <w:r w:rsidR="00EE51F5">
        <w:t>401</w:t>
      </w:r>
      <w:r>
        <w:t xml:space="preserve"> durante el mes de </w:t>
      </w:r>
      <w:r w:rsidR="00774921">
        <w:t>ju</w:t>
      </w:r>
      <w:r w:rsidR="00EE51F5">
        <w:t>l</w:t>
      </w:r>
      <w:r w:rsidR="00774921">
        <w:t>io</w:t>
      </w:r>
      <w:r w:rsidR="002B5C3A">
        <w:t>.</w:t>
      </w:r>
    </w:p>
    <w:p w:rsidR="00D42C6C" w:rsidRDefault="00D42C6C" w:rsidP="00E0320F">
      <w:pPr>
        <w:tabs>
          <w:tab w:val="left" w:pos="0"/>
        </w:tabs>
        <w:rPr>
          <w:b/>
        </w:rPr>
      </w:pPr>
    </w:p>
    <w:p w:rsidR="00A729EA" w:rsidRPr="00427615" w:rsidRDefault="00427615" w:rsidP="00E0320F">
      <w:pPr>
        <w:tabs>
          <w:tab w:val="left" w:pos="0"/>
        </w:tabs>
        <w:rPr>
          <w:b/>
        </w:rPr>
      </w:pPr>
      <w:r w:rsidRPr="00427615">
        <w:rPr>
          <w:b/>
        </w:rPr>
        <w:lastRenderedPageBreak/>
        <w:t>Participación</w:t>
      </w:r>
    </w:p>
    <w:p w:rsidR="00A729EA" w:rsidRDefault="00A729EA" w:rsidP="00E0320F">
      <w:pPr>
        <w:tabs>
          <w:tab w:val="left" w:pos="0"/>
        </w:tabs>
      </w:pPr>
      <w:r>
        <w:t xml:space="preserve">Del total de $ </w:t>
      </w:r>
      <w:r w:rsidR="00774921">
        <w:t>2</w:t>
      </w:r>
      <w:r w:rsidR="00EE51F5">
        <w:t>7</w:t>
      </w:r>
      <w:r w:rsidR="00774921">
        <w:t>.</w:t>
      </w:r>
      <w:r w:rsidR="00EE51F5">
        <w:t>561</w:t>
      </w:r>
      <w:r w:rsidR="002B5C3A" w:rsidRPr="00FD382C">
        <w:t xml:space="preserve"> </w:t>
      </w:r>
      <w:r>
        <w:t xml:space="preserve">millones de ingresos brutos del juego o win, </w:t>
      </w:r>
      <w:r w:rsidR="002B5C3A">
        <w:t>Sun Monticello</w:t>
      </w:r>
      <w:r w:rsidR="009C4049">
        <w:t xml:space="preserve"> representó el 2</w:t>
      </w:r>
      <w:r w:rsidR="00EE51F5">
        <w:t>5</w:t>
      </w:r>
      <w:r w:rsidR="009C4049">
        <w:t>,</w:t>
      </w:r>
      <w:r w:rsidR="00774921">
        <w:t>9</w:t>
      </w:r>
      <w:r w:rsidR="009C4049">
        <w:t xml:space="preserve"> % ($ </w:t>
      </w:r>
      <w:r w:rsidR="00EE51F5">
        <w:t>7</w:t>
      </w:r>
      <w:r w:rsidR="009C4049">
        <w:t>.</w:t>
      </w:r>
      <w:r w:rsidR="00EE51F5">
        <w:t>140</w:t>
      </w:r>
      <w:r w:rsidR="009C4049">
        <w:t xml:space="preserve"> </w:t>
      </w:r>
      <w:r>
        <w:t xml:space="preserve">millones), </w:t>
      </w:r>
      <w:r w:rsidR="00774921">
        <w:t>, Casino Rinconada 12,</w:t>
      </w:r>
      <w:r w:rsidR="00EE51F5">
        <w:t>8</w:t>
      </w:r>
      <w:r w:rsidR="00774921">
        <w:t xml:space="preserve"> % ($ 3.</w:t>
      </w:r>
      <w:r w:rsidR="00EE51F5">
        <w:t>526</w:t>
      </w:r>
      <w:r w:rsidR="00774921">
        <w:t xml:space="preserve"> millones), </w:t>
      </w:r>
      <w:r>
        <w:t xml:space="preserve">Marina del Sol </w:t>
      </w:r>
      <w:r w:rsidR="00774921">
        <w:t>Talcahuano 12,</w:t>
      </w:r>
      <w:r w:rsidR="00EE51F5">
        <w:t>6</w:t>
      </w:r>
      <w:r w:rsidR="009C4049">
        <w:t>% ($ 3.</w:t>
      </w:r>
      <w:r w:rsidR="00EE51F5">
        <w:t>484</w:t>
      </w:r>
      <w:r>
        <w:t xml:space="preserve"> millones)</w:t>
      </w:r>
      <w:r w:rsidR="00774921">
        <w:t>,</w:t>
      </w:r>
      <w:r w:rsidR="009C4049">
        <w:t xml:space="preserve"> Enjoy Antofagasta </w:t>
      </w:r>
      <w:r w:rsidR="00774921">
        <w:t>8</w:t>
      </w:r>
      <w:r w:rsidR="009C4049">
        <w:t>,</w:t>
      </w:r>
      <w:r w:rsidR="00EE51F5">
        <w:t>9</w:t>
      </w:r>
      <w:r w:rsidR="009C4049">
        <w:t xml:space="preserve">% ($ </w:t>
      </w:r>
      <w:r w:rsidR="00A12283">
        <w:t>2.</w:t>
      </w:r>
      <w:r w:rsidR="00EE51F5">
        <w:t>460</w:t>
      </w:r>
      <w:r>
        <w:t xml:space="preserve"> millones), Dreams Temuco </w:t>
      </w:r>
      <w:r w:rsidR="00EE51F5">
        <w:t>7</w:t>
      </w:r>
      <w:r>
        <w:t>,</w:t>
      </w:r>
      <w:r w:rsidR="00EE51F5">
        <w:t>0</w:t>
      </w:r>
      <w:r w:rsidR="00A12283">
        <w:t xml:space="preserve"> </w:t>
      </w:r>
      <w:r>
        <w:t xml:space="preserve">% ($ </w:t>
      </w:r>
      <w:r w:rsidR="00EE51F5">
        <w:t>1.923</w:t>
      </w:r>
      <w:r>
        <w:t xml:space="preserve"> mi</w:t>
      </w:r>
      <w:r w:rsidR="009C4049">
        <w:t>llones), Dreams Punta Arenas 5,</w:t>
      </w:r>
      <w:r w:rsidR="00EE51F5">
        <w:t>7</w:t>
      </w:r>
      <w:r w:rsidR="009C4049">
        <w:t>% ($ 1.</w:t>
      </w:r>
      <w:r w:rsidR="00EE51F5">
        <w:t>564</w:t>
      </w:r>
      <w:r>
        <w:t xml:space="preserve"> millones),</w:t>
      </w:r>
      <w:r w:rsidR="009C4049">
        <w:t xml:space="preserve"> </w:t>
      </w:r>
      <w:r w:rsidR="00EE51F5">
        <w:t xml:space="preserve">Marina del Sol </w:t>
      </w:r>
      <w:r w:rsidR="009C4049">
        <w:t>Calama 4,</w:t>
      </w:r>
      <w:r w:rsidR="00EE51F5">
        <w:t>1</w:t>
      </w:r>
      <w:r w:rsidR="009C4049">
        <w:t>% ($ 1.</w:t>
      </w:r>
      <w:r w:rsidR="00EE51F5">
        <w:t>122</w:t>
      </w:r>
      <w:r>
        <w:t xml:space="preserve"> mil</w:t>
      </w:r>
      <w:r w:rsidR="009C4049">
        <w:t>lones), Gran Casino de Talca 3,</w:t>
      </w:r>
      <w:r w:rsidR="00EE51F5">
        <w:t>9</w:t>
      </w:r>
      <w:r w:rsidR="009C4049">
        <w:t xml:space="preserve"> % ($ </w:t>
      </w:r>
      <w:r w:rsidR="00EE51F5">
        <w:t>1.078</w:t>
      </w:r>
      <w:r>
        <w:t xml:space="preserve"> millones)</w:t>
      </w:r>
      <w:r w:rsidR="009C4049">
        <w:t>, Dreams Valdivia 3,</w:t>
      </w:r>
      <w:r w:rsidR="00A12283">
        <w:t>7</w:t>
      </w:r>
      <w:r w:rsidR="009C4049">
        <w:t xml:space="preserve">% ($ </w:t>
      </w:r>
      <w:r w:rsidR="00EE51F5">
        <w:t>1.007</w:t>
      </w:r>
      <w:r>
        <w:t xml:space="preserve"> mil</w:t>
      </w:r>
      <w:r w:rsidR="009C4049">
        <w:t>lones), Antay Casino &amp; Hotel 3,</w:t>
      </w:r>
      <w:r w:rsidR="00EE51F5">
        <w:t>5</w:t>
      </w:r>
      <w:r w:rsidR="009C4049">
        <w:t xml:space="preserve">% ($ </w:t>
      </w:r>
      <w:r w:rsidR="00EE51F5">
        <w:t>957</w:t>
      </w:r>
      <w:r w:rsidR="009C4049">
        <w:t xml:space="preserve"> </w:t>
      </w:r>
      <w:r>
        <w:t xml:space="preserve">millones), </w:t>
      </w:r>
      <w:r w:rsidR="009C4049">
        <w:t xml:space="preserve">Marina del Sol Osorno </w:t>
      </w:r>
      <w:r w:rsidR="00EE51F5">
        <w:t>3</w:t>
      </w:r>
      <w:r w:rsidR="009C4049">
        <w:t>,</w:t>
      </w:r>
      <w:r w:rsidR="00EE51F5">
        <w:t>0</w:t>
      </w:r>
      <w:r w:rsidR="009C4049">
        <w:t xml:space="preserve">% ($ </w:t>
      </w:r>
      <w:r w:rsidR="00EE51F5">
        <w:t>827</w:t>
      </w:r>
      <w:r>
        <w:t xml:space="preserve"> mi</w:t>
      </w:r>
      <w:r w:rsidR="009C4049">
        <w:t xml:space="preserve">llones), </w:t>
      </w:r>
      <w:r w:rsidR="00E8098C">
        <w:t>Casino de Juegos del Pacífico 2,</w:t>
      </w:r>
      <w:r w:rsidR="00EE51F5">
        <w:t>7</w:t>
      </w:r>
      <w:r w:rsidR="00E8098C">
        <w:t xml:space="preserve">% ($ </w:t>
      </w:r>
      <w:r w:rsidR="00EE51F5">
        <w:t>732</w:t>
      </w:r>
      <w:r w:rsidR="00E8098C">
        <w:t xml:space="preserve"> millones), </w:t>
      </w:r>
      <w:r w:rsidR="009C4049">
        <w:t>Casino de Colchagua 2,</w:t>
      </w:r>
      <w:r w:rsidR="00A12283">
        <w:t>0</w:t>
      </w:r>
      <w:r w:rsidR="009C4049">
        <w:t xml:space="preserve">% ($ </w:t>
      </w:r>
      <w:r w:rsidR="00A12283">
        <w:t>5</w:t>
      </w:r>
      <w:r w:rsidR="00EE51F5">
        <w:t>64</w:t>
      </w:r>
      <w:r>
        <w:t xml:space="preserve"> millones), </w:t>
      </w:r>
      <w:r w:rsidR="00A12283">
        <w:t>Dreams Coyhaique 1,</w:t>
      </w:r>
      <w:r w:rsidR="00EE51F5">
        <w:t>5</w:t>
      </w:r>
      <w:r w:rsidR="00A12283">
        <w:t xml:space="preserve">% ($ </w:t>
      </w:r>
      <w:r w:rsidR="00EE51F5">
        <w:t>426</w:t>
      </w:r>
      <w:r w:rsidR="00A12283">
        <w:t xml:space="preserve"> millones), </w:t>
      </w:r>
      <w:r w:rsidR="009C4049">
        <w:t>Casino Gran Los Ángeles 1,</w:t>
      </w:r>
      <w:r w:rsidR="00EE51F5">
        <w:t>4</w:t>
      </w:r>
      <w:r>
        <w:t xml:space="preserve">% ($ </w:t>
      </w:r>
      <w:r w:rsidR="00A12283">
        <w:t>3</w:t>
      </w:r>
      <w:r w:rsidR="00EE51F5">
        <w:t>99</w:t>
      </w:r>
      <w:r w:rsidR="009C4049">
        <w:t xml:space="preserve"> millones), Enjoy Chiloé </w:t>
      </w:r>
      <w:r w:rsidR="00A12283">
        <w:t>1</w:t>
      </w:r>
      <w:r w:rsidR="009C4049">
        <w:t>,</w:t>
      </w:r>
      <w:r w:rsidR="00EE51F5">
        <w:t>3</w:t>
      </w:r>
      <w:r w:rsidR="009C4049">
        <w:t xml:space="preserve">% ($ </w:t>
      </w:r>
      <w:r w:rsidR="00EE51F5">
        <w:t>353</w:t>
      </w:r>
      <w:r>
        <w:t xml:space="preserve"> millones). </w:t>
      </w:r>
    </w:p>
    <w:p w:rsidR="00A729EA" w:rsidRPr="00427615" w:rsidRDefault="00427615" w:rsidP="00E0320F">
      <w:pPr>
        <w:tabs>
          <w:tab w:val="left" w:pos="0"/>
        </w:tabs>
        <w:rPr>
          <w:b/>
        </w:rPr>
      </w:pPr>
      <w:r w:rsidRPr="00427615">
        <w:rPr>
          <w:b/>
        </w:rPr>
        <w:t xml:space="preserve">Máquinas de </w:t>
      </w:r>
      <w:r>
        <w:rPr>
          <w:b/>
        </w:rPr>
        <w:t>Juego</w:t>
      </w:r>
    </w:p>
    <w:p w:rsidR="00A729EA" w:rsidRDefault="0004531A" w:rsidP="00E0320F">
      <w:pPr>
        <w:tabs>
          <w:tab w:val="left" w:pos="0"/>
        </w:tabs>
      </w:pPr>
      <w:r>
        <w:t>El monto jugado</w:t>
      </w:r>
      <w:r>
        <w:rPr>
          <w:rStyle w:val="Refdenotaalpie"/>
        </w:rPr>
        <w:footnoteReference w:id="5"/>
      </w:r>
      <w:r w:rsidR="009C4049">
        <w:t xml:space="preserve"> en el mes de </w:t>
      </w:r>
      <w:r w:rsidR="00E80F2B">
        <w:t>jul</w:t>
      </w:r>
      <w:r w:rsidR="00303081">
        <w:t>io</w:t>
      </w:r>
      <w:r>
        <w:t xml:space="preserve">, en las </w:t>
      </w:r>
      <w:r w:rsidR="009C4049">
        <w:t>10.</w:t>
      </w:r>
      <w:r w:rsidR="00D36F50">
        <w:t>147</w:t>
      </w:r>
      <w:r w:rsidR="00A729EA">
        <w:t xml:space="preserve"> máquinas de azar que estuvieron en funcionamiento </w:t>
      </w:r>
      <w:r w:rsidR="00427615">
        <w:t>en los 16 Casinos regulados</w:t>
      </w:r>
      <w:r w:rsidR="009C4049">
        <w:t xml:space="preserve"> ascendió a $ 3</w:t>
      </w:r>
      <w:r w:rsidR="00D36F50">
        <w:t>61</w:t>
      </w:r>
      <w:r w:rsidR="009C4049">
        <w:t>.</w:t>
      </w:r>
      <w:r w:rsidR="00D36F50">
        <w:t>327</w:t>
      </w:r>
      <w:r>
        <w:t xml:space="preserve"> millones. Los premios pagados a los j</w:t>
      </w:r>
      <w:r w:rsidR="009C4049">
        <w:t>ugadores alcanzaron los $ 3</w:t>
      </w:r>
      <w:r w:rsidR="00D36F50">
        <w:t>39</w:t>
      </w:r>
      <w:r w:rsidR="009C4049">
        <w:t>.</w:t>
      </w:r>
      <w:r w:rsidR="00D36F50">
        <w:t>119</w:t>
      </w:r>
      <w:r w:rsidR="009C4049">
        <w:t xml:space="preserve"> millones, equivalentes al 93,</w:t>
      </w:r>
      <w:r w:rsidR="00D36F50">
        <w:t>9</w:t>
      </w:r>
      <w:r>
        <w:t xml:space="preserve">% del total apostado. Como resultado, el ingreso bruto o Win correspondiente al juego en máquinas de azar fue de </w:t>
      </w:r>
      <w:r w:rsidR="009C4049">
        <w:t>$2</w:t>
      </w:r>
      <w:r w:rsidR="00D36F50">
        <w:t>2</w:t>
      </w:r>
      <w:r w:rsidR="009C4049">
        <w:t>.</w:t>
      </w:r>
      <w:r w:rsidR="00A12283">
        <w:t>2</w:t>
      </w:r>
      <w:r w:rsidR="00D36F50">
        <w:t>09</w:t>
      </w:r>
      <w:r w:rsidR="00A729EA">
        <w:t xml:space="preserve"> millones</w:t>
      </w:r>
      <w:r w:rsidR="009C4049">
        <w:t xml:space="preserve"> que equivale al 8</w:t>
      </w:r>
      <w:r w:rsidR="00D36F50">
        <w:t>0</w:t>
      </w:r>
      <w:r w:rsidR="009C4049">
        <w:t>,</w:t>
      </w:r>
      <w:r w:rsidR="00D36F50">
        <w:t>6</w:t>
      </w:r>
      <w:r w:rsidR="009C4049">
        <w:t xml:space="preserve"> </w:t>
      </w:r>
      <w:r>
        <w:t>% del ingreso bruto total</w:t>
      </w:r>
      <w:r w:rsidR="00A729EA">
        <w:t>.</w:t>
      </w:r>
    </w:p>
    <w:p w:rsidR="0004531A" w:rsidRPr="0004531A" w:rsidRDefault="0004531A" w:rsidP="00E0320F">
      <w:pPr>
        <w:tabs>
          <w:tab w:val="left" w:pos="0"/>
        </w:tabs>
        <w:rPr>
          <w:b/>
        </w:rPr>
      </w:pPr>
      <w:r w:rsidRPr="0004531A">
        <w:rPr>
          <w:b/>
        </w:rPr>
        <w:t>Sobre series de datos</w:t>
      </w:r>
    </w:p>
    <w:p w:rsidR="0004531A" w:rsidRDefault="009C4049" w:rsidP="00E0320F">
      <w:pPr>
        <w:tabs>
          <w:tab w:val="left" w:pos="0"/>
        </w:tabs>
      </w:pPr>
      <w:r>
        <w:t>Cabe recordar</w:t>
      </w:r>
      <w:r w:rsidR="00A729EA">
        <w:t xml:space="preserve"> que </w:t>
      </w:r>
      <w:r>
        <w:t xml:space="preserve">desde el mes pasado, los comunicados de prensa </w:t>
      </w:r>
      <w:r w:rsidR="0004531A" w:rsidRPr="0004531A">
        <w:t xml:space="preserve"> referido a los resultados </w:t>
      </w:r>
      <w:r>
        <w:t>operacionales</w:t>
      </w:r>
      <w:r w:rsidR="0004531A" w:rsidRPr="0004531A">
        <w:t>, los porcentajes de variación de los ingresos brutos del juego y gasto promedio, en respecto a períodos anteriores, se comunicarán en términos reales. Esto es, corregidos por la UF del último día del mes, a diferencia de los valores nominales que se informaban en los boletines anteriores.</w:t>
      </w:r>
    </w:p>
    <w:p w:rsidR="009858E3" w:rsidRDefault="009858E3" w:rsidP="00E0320F">
      <w:pPr>
        <w:tabs>
          <w:tab w:val="left" w:pos="0"/>
        </w:tabs>
        <w:spacing w:line="259" w:lineRule="auto"/>
        <w:jc w:val="left"/>
      </w:pPr>
      <w:r>
        <w:br w:type="page"/>
      </w:r>
    </w:p>
    <w:bookmarkEnd w:id="0"/>
    <w:p w:rsidR="009858E3" w:rsidRDefault="009858E3" w:rsidP="00E0320F">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E80F2B">
        <w:rPr>
          <w:rFonts w:ascii="Calibri" w:hAnsi="Calibri" w:cs="Calibri"/>
          <w:b/>
          <w:sz w:val="21"/>
          <w:szCs w:val="21"/>
        </w:rPr>
        <w:t>JUL</w:t>
      </w:r>
      <w:r w:rsidR="00A12283">
        <w:rPr>
          <w:rFonts w:ascii="Calibri" w:hAnsi="Calibri" w:cs="Calibri"/>
          <w:b/>
          <w:sz w:val="21"/>
          <w:szCs w:val="21"/>
        </w:rPr>
        <w:t>IO</w:t>
      </w:r>
      <w:r w:rsidR="004830B6">
        <w:rPr>
          <w:rFonts w:ascii="Calibri" w:hAnsi="Calibri" w:cs="Calibri"/>
          <w:b/>
          <w:sz w:val="21"/>
          <w:szCs w:val="21"/>
        </w:rPr>
        <w:t xml:space="preserve"> </w:t>
      </w:r>
      <w:r>
        <w:rPr>
          <w:rFonts w:ascii="Calibri" w:hAnsi="Calibri" w:cs="Calibri"/>
          <w:b/>
          <w:sz w:val="21"/>
          <w:szCs w:val="21"/>
        </w:rPr>
        <w:t>DE 2016</w:t>
      </w:r>
    </w:p>
    <w:p w:rsidR="00A12283" w:rsidRDefault="00D42C6C" w:rsidP="00E0320F">
      <w:pPr>
        <w:pStyle w:val="Prrafodelista"/>
        <w:numPr>
          <w:ilvl w:val="0"/>
          <w:numId w:val="1"/>
        </w:numPr>
        <w:tabs>
          <w:tab w:val="left" w:pos="0"/>
        </w:tabs>
        <w:ind w:left="0"/>
        <w:rPr>
          <w:rFonts w:ascii="Calibri" w:hAnsi="Calibri" w:cs="Calibri"/>
          <w:b/>
          <w:sz w:val="21"/>
          <w:szCs w:val="21"/>
        </w:rPr>
      </w:pPr>
      <w:r>
        <w:rPr>
          <w:rFonts w:ascii="Calibri" w:hAnsi="Calibri" w:cs="Calibri"/>
          <w:b/>
          <w:sz w:val="21"/>
          <w:szCs w:val="21"/>
        </w:rPr>
        <w:t>Resultados Generales</w:t>
      </w:r>
      <w:r w:rsidR="004830B6">
        <w:rPr>
          <w:rFonts w:ascii="Calibri" w:hAnsi="Calibri" w:cs="Calibri"/>
          <w:b/>
          <w:sz w:val="21"/>
          <w:szCs w:val="21"/>
        </w:rPr>
        <w:t xml:space="preserve">, valores nominales ($): </w:t>
      </w:r>
      <w:r w:rsidR="00A12283">
        <w:rPr>
          <w:rFonts w:ascii="Calibri" w:hAnsi="Calibri" w:cs="Calibri"/>
          <w:b/>
          <w:sz w:val="21"/>
          <w:szCs w:val="21"/>
        </w:rPr>
        <w:t>ju</w:t>
      </w:r>
      <w:r w:rsidR="00D36F50">
        <w:rPr>
          <w:rFonts w:ascii="Calibri" w:hAnsi="Calibri" w:cs="Calibri"/>
          <w:b/>
          <w:sz w:val="21"/>
          <w:szCs w:val="21"/>
        </w:rPr>
        <w:t>l</w:t>
      </w:r>
      <w:r w:rsidR="00A12283">
        <w:rPr>
          <w:rFonts w:ascii="Calibri" w:hAnsi="Calibri" w:cs="Calibri"/>
          <w:b/>
          <w:sz w:val="21"/>
          <w:szCs w:val="21"/>
        </w:rPr>
        <w:t>io</w:t>
      </w:r>
      <w:r w:rsidR="003D15B6">
        <w:rPr>
          <w:rFonts w:ascii="Calibri" w:hAnsi="Calibri" w:cs="Calibri"/>
          <w:b/>
          <w:sz w:val="21"/>
          <w:szCs w:val="21"/>
        </w:rPr>
        <w:t xml:space="preserve"> 2016</w:t>
      </w:r>
    </w:p>
    <w:p w:rsidR="00A12283" w:rsidRDefault="00A12283" w:rsidP="00E0320F">
      <w:pPr>
        <w:pStyle w:val="Prrafodelista"/>
        <w:tabs>
          <w:tab w:val="left" w:pos="0"/>
        </w:tabs>
        <w:ind w:left="0"/>
        <w:rPr>
          <w:rFonts w:ascii="Calibri" w:hAnsi="Calibri" w:cs="Calibri"/>
          <w:b/>
          <w:sz w:val="21"/>
          <w:szCs w:val="21"/>
        </w:rPr>
      </w:pPr>
    </w:p>
    <w:p w:rsidR="00A12283" w:rsidRPr="00D36F50" w:rsidRDefault="00D36F50" w:rsidP="00E0320F">
      <w:pPr>
        <w:tabs>
          <w:tab w:val="left" w:pos="0"/>
        </w:tabs>
        <w:jc w:val="center"/>
        <w:rPr>
          <w:rFonts w:ascii="Calibri" w:hAnsi="Calibri" w:cs="Calibri"/>
          <w:b/>
          <w:sz w:val="21"/>
          <w:szCs w:val="21"/>
        </w:rPr>
      </w:pPr>
      <w:r>
        <w:rPr>
          <w:rFonts w:ascii="Calibri" w:hAnsi="Calibri" w:cs="Calibri"/>
          <w:b/>
          <w:noProof/>
          <w:sz w:val="21"/>
          <w:szCs w:val="21"/>
          <w:lang w:eastAsia="es-ES"/>
        </w:rPr>
        <w:drawing>
          <wp:inline distT="0" distB="0" distL="0" distR="0" wp14:anchorId="0DAC8004">
            <wp:extent cx="4934573" cy="3467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162" cy="3473135"/>
                    </a:xfrm>
                    <a:prstGeom prst="rect">
                      <a:avLst/>
                    </a:prstGeom>
                    <a:noFill/>
                  </pic:spPr>
                </pic:pic>
              </a:graphicData>
            </a:graphic>
          </wp:inline>
        </w:drawing>
      </w:r>
    </w:p>
    <w:p w:rsidR="009858E3" w:rsidRDefault="009858E3" w:rsidP="00B0351E">
      <w:pPr>
        <w:tabs>
          <w:tab w:val="left" w:pos="0"/>
        </w:tabs>
        <w:jc w:val="center"/>
      </w:pPr>
    </w:p>
    <w:p w:rsidR="009858E3" w:rsidRPr="00D42C6C" w:rsidRDefault="009858E3" w:rsidP="00E0320F">
      <w:pPr>
        <w:tabs>
          <w:tab w:val="left" w:pos="0"/>
          <w:tab w:val="left" w:pos="6285"/>
        </w:tabs>
        <w:jc w:val="center"/>
        <w:rPr>
          <w:b/>
        </w:rPr>
      </w:pPr>
    </w:p>
    <w:p w:rsidR="009858E3" w:rsidRPr="001E2D5F" w:rsidRDefault="00D42C6C" w:rsidP="001E2D5F">
      <w:pPr>
        <w:pStyle w:val="Prrafodelista"/>
        <w:numPr>
          <w:ilvl w:val="0"/>
          <w:numId w:val="1"/>
        </w:numPr>
        <w:tabs>
          <w:tab w:val="left" w:pos="0"/>
        </w:tabs>
        <w:ind w:left="0"/>
        <w:rPr>
          <w:b/>
        </w:rPr>
      </w:pPr>
      <w:r w:rsidRPr="00D42C6C">
        <w:rPr>
          <w:b/>
        </w:rPr>
        <w:t>Evolución Mensual ingr</w:t>
      </w:r>
      <w:r w:rsidR="002D141C">
        <w:rPr>
          <w:b/>
        </w:rPr>
        <w:t>esos brutos del juego o win, valores reales (UF)</w:t>
      </w:r>
      <w:r w:rsidR="003D15B6">
        <w:rPr>
          <w:b/>
        </w:rPr>
        <w:t>: Año 2014-2016</w:t>
      </w:r>
      <w:r w:rsidR="001E2D5F">
        <w:rPr>
          <w:noProof/>
          <w:lang w:eastAsia="es-ES"/>
        </w:rPr>
        <w:drawing>
          <wp:inline distT="0" distB="0" distL="0" distR="0" wp14:anchorId="1DA97FF0" wp14:editId="0A9DC99F">
            <wp:extent cx="5627813" cy="2129051"/>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3233" cy="2134884"/>
                    </a:xfrm>
                    <a:prstGeom prst="rect">
                      <a:avLst/>
                    </a:prstGeom>
                    <a:noFill/>
                  </pic:spPr>
                </pic:pic>
              </a:graphicData>
            </a:graphic>
          </wp:inline>
        </w:drawing>
      </w:r>
    </w:p>
    <w:p w:rsidR="009265AF" w:rsidRDefault="009265AF" w:rsidP="00E0320F">
      <w:pPr>
        <w:tabs>
          <w:tab w:val="left" w:pos="0"/>
          <w:tab w:val="left" w:pos="6285"/>
        </w:tabs>
        <w:ind w:firstLine="142"/>
        <w:jc w:val="center"/>
      </w:pPr>
    </w:p>
    <w:p w:rsidR="009858E3" w:rsidRDefault="009858E3" w:rsidP="00E0320F">
      <w:pPr>
        <w:tabs>
          <w:tab w:val="left" w:pos="0"/>
          <w:tab w:val="left" w:pos="6285"/>
        </w:tabs>
        <w:jc w:val="center"/>
      </w:pPr>
    </w:p>
    <w:p w:rsidR="002B5C3A" w:rsidRDefault="002B5C3A" w:rsidP="00E0320F">
      <w:pPr>
        <w:tabs>
          <w:tab w:val="left" w:pos="0"/>
          <w:tab w:val="left" w:pos="6285"/>
        </w:tabs>
        <w:jc w:val="center"/>
      </w:pPr>
    </w:p>
    <w:p w:rsidR="009858E3" w:rsidRDefault="009858E3" w:rsidP="00B0351E">
      <w:pPr>
        <w:tabs>
          <w:tab w:val="left" w:pos="0"/>
        </w:tabs>
        <w:jc w:val="center"/>
      </w:pPr>
    </w:p>
    <w:p w:rsidR="002D141C" w:rsidRDefault="002D141C" w:rsidP="00E0320F">
      <w:pPr>
        <w:pStyle w:val="Prrafodelista"/>
        <w:numPr>
          <w:ilvl w:val="0"/>
          <w:numId w:val="1"/>
        </w:numPr>
        <w:tabs>
          <w:tab w:val="left" w:pos="0"/>
          <w:tab w:val="left" w:pos="6285"/>
        </w:tabs>
        <w:ind w:left="0"/>
        <w:jc w:val="left"/>
        <w:rPr>
          <w:b/>
          <w:sz w:val="21"/>
          <w:szCs w:val="21"/>
        </w:rPr>
      </w:pPr>
      <w:r w:rsidRPr="003D15B6">
        <w:rPr>
          <w:b/>
          <w:sz w:val="21"/>
          <w:szCs w:val="21"/>
        </w:rPr>
        <w:lastRenderedPageBreak/>
        <w:t>Ingresos brutos del juego o win en valo</w:t>
      </w:r>
      <w:r w:rsidR="00F9221C" w:rsidRPr="003D15B6">
        <w:rPr>
          <w:b/>
          <w:sz w:val="21"/>
          <w:szCs w:val="21"/>
        </w:rPr>
        <w:t>res nominales ($) y reales (UF)</w:t>
      </w:r>
      <w:r w:rsidR="003D15B6" w:rsidRPr="003D15B6">
        <w:rPr>
          <w:b/>
          <w:sz w:val="21"/>
          <w:szCs w:val="21"/>
        </w:rPr>
        <w:t>: Año 2014-201</w:t>
      </w:r>
      <w:r w:rsidR="003D15B6">
        <w:rPr>
          <w:b/>
          <w:sz w:val="21"/>
          <w:szCs w:val="21"/>
        </w:rPr>
        <w:t>6</w:t>
      </w:r>
    </w:p>
    <w:tbl>
      <w:tblPr>
        <w:tblW w:w="5000" w:type="pct"/>
        <w:tblCellMar>
          <w:left w:w="70" w:type="dxa"/>
          <w:right w:w="70" w:type="dxa"/>
        </w:tblCellMar>
        <w:tblLook w:val="04A0" w:firstRow="1" w:lastRow="0" w:firstColumn="1" w:lastColumn="0" w:noHBand="0" w:noVBand="1"/>
      </w:tblPr>
      <w:tblGrid>
        <w:gridCol w:w="2101"/>
        <w:gridCol w:w="546"/>
        <w:gridCol w:w="516"/>
        <w:gridCol w:w="546"/>
        <w:gridCol w:w="516"/>
        <w:gridCol w:w="531"/>
        <w:gridCol w:w="546"/>
        <w:gridCol w:w="518"/>
        <w:gridCol w:w="531"/>
        <w:gridCol w:w="531"/>
        <w:gridCol w:w="546"/>
        <w:gridCol w:w="520"/>
        <w:gridCol w:w="546"/>
      </w:tblGrid>
      <w:tr w:rsidR="00E80F2B" w:rsidRPr="00E80F2B" w:rsidTr="00E80F2B">
        <w:trPr>
          <w:trHeight w:val="315"/>
        </w:trPr>
        <w:tc>
          <w:tcPr>
            <w:tcW w:w="799" w:type="pct"/>
            <w:tcBorders>
              <w:top w:val="nil"/>
              <w:left w:val="nil"/>
              <w:bottom w:val="single" w:sz="8" w:space="0" w:color="auto"/>
              <w:right w:val="nil"/>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000000"/>
                <w:lang w:eastAsia="es-ES"/>
              </w:rPr>
            </w:pPr>
            <w:r w:rsidRPr="00E80F2B">
              <w:rPr>
                <w:rFonts w:ascii="Calibri" w:eastAsia="Times New Roman" w:hAnsi="Calibri" w:cs="Times New Roman"/>
                <w:color w:val="000000"/>
                <w:lang w:eastAsia="es-ES"/>
              </w:rPr>
              <w:t> </w:t>
            </w:r>
          </w:p>
        </w:tc>
        <w:tc>
          <w:tcPr>
            <w:tcW w:w="350"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proofErr w:type="spellStart"/>
            <w:r w:rsidRPr="00E80F2B">
              <w:rPr>
                <w:rFonts w:ascii="Calibri" w:eastAsia="Times New Roman" w:hAnsi="Calibri" w:cs="Times New Roman"/>
                <w:b/>
                <w:bCs/>
                <w:color w:val="FFFFFF"/>
                <w:sz w:val="12"/>
                <w:szCs w:val="12"/>
                <w:lang w:eastAsia="es-ES"/>
              </w:rPr>
              <w:t>Ago</w:t>
            </w:r>
            <w:proofErr w:type="spellEnd"/>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proofErr w:type="spellStart"/>
            <w:r w:rsidRPr="00E80F2B">
              <w:rPr>
                <w:rFonts w:ascii="Calibri" w:eastAsia="Times New Roman" w:hAnsi="Calibri" w:cs="Times New Roman"/>
                <w:b/>
                <w:bCs/>
                <w:color w:val="FFFFFF"/>
                <w:sz w:val="12"/>
                <w:szCs w:val="12"/>
                <w:lang w:eastAsia="es-ES"/>
              </w:rPr>
              <w:t>Sep</w:t>
            </w:r>
            <w:proofErr w:type="spellEnd"/>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Oct</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Nov</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Dic</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Ene</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Feb</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Mar</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Abr</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proofErr w:type="spellStart"/>
            <w:r w:rsidRPr="00E80F2B">
              <w:rPr>
                <w:rFonts w:ascii="Calibri" w:eastAsia="Times New Roman" w:hAnsi="Calibri" w:cs="Times New Roman"/>
                <w:b/>
                <w:bCs/>
                <w:color w:val="FFFFFF"/>
                <w:sz w:val="12"/>
                <w:szCs w:val="12"/>
                <w:lang w:eastAsia="es-ES"/>
              </w:rPr>
              <w:t>May</w:t>
            </w:r>
            <w:proofErr w:type="spellEnd"/>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Jun</w:t>
            </w:r>
          </w:p>
        </w:tc>
        <w:tc>
          <w:tcPr>
            <w:tcW w:w="350" w:type="pct"/>
            <w:tcBorders>
              <w:top w:val="single" w:sz="8" w:space="0" w:color="auto"/>
              <w:left w:val="nil"/>
              <w:bottom w:val="single" w:sz="8" w:space="0" w:color="auto"/>
              <w:right w:val="single" w:sz="8" w:space="0" w:color="auto"/>
            </w:tcBorders>
            <w:shd w:val="clear" w:color="000000" w:fill="0F243E"/>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Jul</w:t>
            </w:r>
          </w:p>
        </w:tc>
      </w:tr>
      <w:tr w:rsidR="00E80F2B" w:rsidRPr="00E80F2B" w:rsidTr="00E80F2B">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Ingresos brutos del juego o win ($ millones)</w:t>
            </w:r>
          </w:p>
        </w:tc>
      </w:tr>
      <w:tr w:rsidR="00E80F2B" w:rsidRPr="00E80F2B" w:rsidTr="00E80F2B">
        <w:trPr>
          <w:trHeight w:val="300"/>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VALORES REALES</w:t>
            </w:r>
          </w:p>
        </w:tc>
      </w:tr>
      <w:tr w:rsidR="00E80F2B" w:rsidRPr="00E80F2B" w:rsidTr="00E80F2B">
        <w:trPr>
          <w:trHeight w:val="315"/>
        </w:trPr>
        <w:tc>
          <w:tcPr>
            <w:tcW w:w="799" w:type="pct"/>
            <w:tcBorders>
              <w:top w:val="nil"/>
              <w:left w:val="single" w:sz="8" w:space="0" w:color="auto"/>
              <w:bottom w:val="single" w:sz="8" w:space="0" w:color="auto"/>
              <w:right w:val="single" w:sz="8" w:space="0" w:color="auto"/>
            </w:tcBorders>
            <w:shd w:val="clear" w:color="000000" w:fill="DCE6F1"/>
            <w:noWrap/>
            <w:vAlign w:val="bottom"/>
            <w:hideMark/>
          </w:tcPr>
          <w:p w:rsidR="00E80F2B" w:rsidRPr="00E80F2B" w:rsidRDefault="00E80F2B" w:rsidP="001E2D5F">
            <w:pPr>
              <w:spacing w:after="0" w:line="240" w:lineRule="auto"/>
              <w:jc w:val="left"/>
              <w:rPr>
                <w:rFonts w:ascii="Calibri" w:eastAsia="Times New Roman" w:hAnsi="Calibri" w:cs="Times New Roman"/>
                <w:color w:val="000000"/>
                <w:sz w:val="12"/>
                <w:szCs w:val="12"/>
                <w:lang w:eastAsia="es-ES"/>
              </w:rPr>
            </w:pPr>
            <w:r w:rsidRPr="00E80F2B">
              <w:rPr>
                <w:rFonts w:ascii="Calibri" w:eastAsia="Times New Roman" w:hAnsi="Calibri" w:cs="Times New Roman"/>
                <w:color w:val="000000"/>
                <w:sz w:val="12"/>
                <w:szCs w:val="12"/>
                <w:lang w:eastAsia="es-ES"/>
              </w:rPr>
              <w:t>Win Agosto 2014-Julio 2015 ($ millones)</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23.383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21.610</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22.702</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21.053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22.719</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23.808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20.446</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23.278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23.793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26.329</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24.086</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25.761</w:t>
            </w:r>
          </w:p>
        </w:tc>
      </w:tr>
      <w:tr w:rsidR="00E80F2B" w:rsidRPr="00E80F2B" w:rsidTr="00E80F2B">
        <w:trPr>
          <w:trHeight w:val="315"/>
        </w:trPr>
        <w:tc>
          <w:tcPr>
            <w:tcW w:w="799" w:type="pct"/>
            <w:tcBorders>
              <w:top w:val="nil"/>
              <w:left w:val="single" w:sz="8" w:space="0" w:color="auto"/>
              <w:bottom w:val="single" w:sz="8" w:space="0" w:color="auto"/>
              <w:right w:val="single" w:sz="8" w:space="0" w:color="auto"/>
            </w:tcBorders>
            <w:shd w:val="clear" w:color="000000" w:fill="DCE6F1"/>
            <w:noWrap/>
            <w:vAlign w:val="bottom"/>
            <w:hideMark/>
          </w:tcPr>
          <w:p w:rsidR="00E80F2B" w:rsidRPr="00E80F2B" w:rsidRDefault="00E80F2B" w:rsidP="001E2D5F">
            <w:pPr>
              <w:spacing w:after="0" w:line="240" w:lineRule="auto"/>
              <w:jc w:val="left"/>
              <w:rPr>
                <w:rFonts w:ascii="Calibri" w:eastAsia="Times New Roman" w:hAnsi="Calibri" w:cs="Times New Roman"/>
                <w:color w:val="000000"/>
                <w:sz w:val="12"/>
                <w:szCs w:val="12"/>
                <w:lang w:eastAsia="es-ES"/>
              </w:rPr>
            </w:pPr>
            <w:r w:rsidRPr="00E80F2B">
              <w:rPr>
                <w:rFonts w:ascii="Calibri" w:eastAsia="Times New Roman" w:hAnsi="Calibri" w:cs="Times New Roman"/>
                <w:color w:val="000000"/>
                <w:sz w:val="12"/>
                <w:szCs w:val="12"/>
                <w:lang w:eastAsia="es-ES"/>
              </w:rPr>
              <w:t>Win Agosto 2015-Julio 2016 ($ millones)</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26.229</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23.876</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27.138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23.637</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25.066</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25.785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23.933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25.473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25.472</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26.801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24.918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27.561</w:t>
            </w:r>
          </w:p>
        </w:tc>
      </w:tr>
      <w:tr w:rsidR="00E80F2B" w:rsidRPr="00E80F2B" w:rsidTr="00E80F2B">
        <w:trPr>
          <w:trHeight w:val="315"/>
        </w:trPr>
        <w:tc>
          <w:tcPr>
            <w:tcW w:w="799" w:type="pct"/>
            <w:tcBorders>
              <w:top w:val="nil"/>
              <w:left w:val="single" w:sz="8" w:space="0" w:color="auto"/>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left"/>
              <w:rPr>
                <w:rFonts w:ascii="Calibri" w:eastAsia="Times New Roman" w:hAnsi="Calibri" w:cs="Times New Roman"/>
                <w:color w:val="000000"/>
                <w:sz w:val="12"/>
                <w:szCs w:val="12"/>
                <w:lang w:eastAsia="es-ES"/>
              </w:rPr>
            </w:pPr>
            <w:r w:rsidRPr="00E80F2B">
              <w:rPr>
                <w:rFonts w:ascii="Calibri" w:eastAsia="Times New Roman" w:hAnsi="Calibri" w:cs="Times New Roman"/>
                <w:color w:val="000000"/>
                <w:sz w:val="12"/>
                <w:szCs w:val="12"/>
                <w:lang w:eastAsia="es-ES"/>
              </w:rPr>
              <w:t>Crecimiento Win Nominal</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12,2%</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19,5%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12,3%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8,3%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17,1%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9,4%</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7,1%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3,5%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7,0%</w:t>
            </w:r>
          </w:p>
        </w:tc>
      </w:tr>
      <w:tr w:rsidR="00E80F2B" w:rsidRPr="00E80F2B" w:rsidTr="00E80F2B">
        <w:trPr>
          <w:trHeight w:val="315"/>
        </w:trPr>
        <w:tc>
          <w:tcPr>
            <w:tcW w:w="465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E80F2B" w:rsidRPr="00E80F2B" w:rsidRDefault="00E80F2B" w:rsidP="00E80F2B">
            <w:pPr>
              <w:spacing w:after="0" w:line="240" w:lineRule="auto"/>
              <w:jc w:val="left"/>
              <w:rPr>
                <w:rFonts w:ascii="Calibri" w:eastAsia="Times New Roman" w:hAnsi="Calibri" w:cs="Times New Roman"/>
                <w:b/>
                <w:bCs/>
                <w:color w:val="000000"/>
                <w:sz w:val="10"/>
                <w:szCs w:val="12"/>
                <w:lang w:eastAsia="es-ES"/>
              </w:rPr>
            </w:pPr>
            <w:r w:rsidRPr="00E80F2B">
              <w:rPr>
                <w:rFonts w:ascii="Calibri" w:eastAsia="Times New Roman" w:hAnsi="Calibri" w:cs="Times New Roman"/>
                <w:b/>
                <w:bCs/>
                <w:color w:val="000000"/>
                <w:sz w:val="12"/>
                <w:szCs w:val="12"/>
                <w:lang w:eastAsia="es-ES"/>
              </w:rPr>
              <w:t>Crecimiento Win Nominal (Anual)</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9,6%</w:t>
            </w:r>
          </w:p>
        </w:tc>
      </w:tr>
      <w:tr w:rsidR="00E80F2B" w:rsidRPr="00E80F2B" w:rsidTr="00E80F2B">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Ingresos brutos del juego o win UF)</w:t>
            </w:r>
          </w:p>
        </w:tc>
      </w:tr>
      <w:tr w:rsidR="00E80F2B" w:rsidRPr="00E80F2B" w:rsidTr="00E80F2B">
        <w:trPr>
          <w:trHeight w:val="300"/>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2"/>
                <w:szCs w:val="12"/>
                <w:lang w:eastAsia="es-ES"/>
              </w:rPr>
            </w:pPr>
            <w:r w:rsidRPr="00E80F2B">
              <w:rPr>
                <w:rFonts w:ascii="Calibri" w:eastAsia="Times New Roman" w:hAnsi="Calibri" w:cs="Times New Roman"/>
                <w:b/>
                <w:bCs/>
                <w:color w:val="FFFFFF"/>
                <w:sz w:val="12"/>
                <w:szCs w:val="12"/>
                <w:lang w:eastAsia="es-ES"/>
              </w:rPr>
              <w:t>VALORES NOMINALES</w:t>
            </w:r>
          </w:p>
        </w:tc>
      </w:tr>
      <w:tr w:rsidR="00E80F2B" w:rsidRPr="00E80F2B" w:rsidTr="00E80F2B">
        <w:trPr>
          <w:trHeight w:val="315"/>
        </w:trPr>
        <w:tc>
          <w:tcPr>
            <w:tcW w:w="799" w:type="pct"/>
            <w:tcBorders>
              <w:top w:val="nil"/>
              <w:left w:val="single" w:sz="8" w:space="0" w:color="auto"/>
              <w:bottom w:val="single" w:sz="8" w:space="0" w:color="auto"/>
              <w:right w:val="single" w:sz="8" w:space="0" w:color="auto"/>
            </w:tcBorders>
            <w:shd w:val="clear" w:color="000000" w:fill="DCE6F1"/>
            <w:noWrap/>
            <w:vAlign w:val="bottom"/>
            <w:hideMark/>
          </w:tcPr>
          <w:p w:rsidR="00E80F2B" w:rsidRPr="00E80F2B" w:rsidRDefault="00E80F2B" w:rsidP="001E2D5F">
            <w:pPr>
              <w:spacing w:after="0" w:line="240" w:lineRule="auto"/>
              <w:jc w:val="left"/>
              <w:rPr>
                <w:rFonts w:ascii="Calibri" w:eastAsia="Times New Roman" w:hAnsi="Calibri" w:cs="Times New Roman"/>
                <w:color w:val="000000"/>
                <w:sz w:val="12"/>
                <w:szCs w:val="12"/>
                <w:lang w:eastAsia="es-ES"/>
              </w:rPr>
            </w:pPr>
            <w:r w:rsidRPr="00E80F2B">
              <w:rPr>
                <w:rFonts w:ascii="Calibri" w:eastAsia="Times New Roman" w:hAnsi="Calibri" w:cs="Times New Roman"/>
                <w:color w:val="000000"/>
                <w:sz w:val="12"/>
                <w:szCs w:val="12"/>
                <w:lang w:eastAsia="es-ES"/>
              </w:rPr>
              <w:t>Win Agosto 2014-Julio 2015 (UF)</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970.130</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894.143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933.213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857.424</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922.565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969.481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833.010</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945.404</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961.168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1.057.203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964.108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1.026.893</w:t>
            </w:r>
          </w:p>
        </w:tc>
      </w:tr>
      <w:tr w:rsidR="00E80F2B" w:rsidRPr="00E80F2B" w:rsidTr="00E80F2B">
        <w:trPr>
          <w:trHeight w:val="315"/>
        </w:trPr>
        <w:tc>
          <w:tcPr>
            <w:tcW w:w="799" w:type="pct"/>
            <w:tcBorders>
              <w:top w:val="nil"/>
              <w:left w:val="single" w:sz="8" w:space="0" w:color="auto"/>
              <w:bottom w:val="single" w:sz="8" w:space="0" w:color="auto"/>
              <w:right w:val="single" w:sz="8" w:space="0" w:color="auto"/>
            </w:tcBorders>
            <w:shd w:val="clear" w:color="000000" w:fill="DCE6F1"/>
            <w:noWrap/>
            <w:vAlign w:val="bottom"/>
            <w:hideMark/>
          </w:tcPr>
          <w:p w:rsidR="00E80F2B" w:rsidRPr="00E80F2B" w:rsidRDefault="00E80F2B" w:rsidP="001E2D5F">
            <w:pPr>
              <w:spacing w:after="0" w:line="240" w:lineRule="auto"/>
              <w:jc w:val="left"/>
              <w:rPr>
                <w:rFonts w:ascii="Calibri" w:eastAsia="Times New Roman" w:hAnsi="Calibri" w:cs="Times New Roman"/>
                <w:color w:val="000000"/>
                <w:sz w:val="12"/>
                <w:szCs w:val="12"/>
                <w:lang w:eastAsia="es-ES"/>
              </w:rPr>
            </w:pPr>
            <w:r w:rsidRPr="00E80F2B">
              <w:rPr>
                <w:rFonts w:ascii="Calibri" w:eastAsia="Times New Roman" w:hAnsi="Calibri" w:cs="Times New Roman"/>
                <w:color w:val="000000"/>
                <w:sz w:val="12"/>
                <w:szCs w:val="12"/>
                <w:lang w:eastAsia="es-ES"/>
              </w:rPr>
              <w:t>Win Agosto 2015-Julio 2016 (UF)</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1.041.055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941.970</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1.064.658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923.372</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978.021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1.006.072</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930.609</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986.864</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983.225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1.031.081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956.484</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1.054.308</w:t>
            </w:r>
          </w:p>
        </w:tc>
      </w:tr>
      <w:tr w:rsidR="00E80F2B" w:rsidRPr="00E80F2B" w:rsidTr="00E80F2B">
        <w:trPr>
          <w:trHeight w:val="315"/>
        </w:trPr>
        <w:tc>
          <w:tcPr>
            <w:tcW w:w="799" w:type="pct"/>
            <w:tcBorders>
              <w:top w:val="nil"/>
              <w:left w:val="single" w:sz="8" w:space="0" w:color="auto"/>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left"/>
              <w:rPr>
                <w:rFonts w:ascii="Calibri" w:eastAsia="Times New Roman" w:hAnsi="Calibri" w:cs="Times New Roman"/>
                <w:b/>
                <w:bCs/>
                <w:color w:val="000000"/>
                <w:sz w:val="12"/>
                <w:szCs w:val="12"/>
                <w:lang w:eastAsia="es-ES"/>
              </w:rPr>
            </w:pPr>
            <w:r w:rsidRPr="00E80F2B">
              <w:rPr>
                <w:rFonts w:ascii="Calibri" w:eastAsia="Times New Roman" w:hAnsi="Calibri" w:cs="Times New Roman"/>
                <w:b/>
                <w:bCs/>
                <w:color w:val="000000"/>
                <w:sz w:val="12"/>
                <w:szCs w:val="12"/>
                <w:lang w:eastAsia="es-ES"/>
              </w:rPr>
              <w:t>Crecimiento Win Real</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7,3%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5,3%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14,1%</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7,7%</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6,0%</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3,8%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11,7%</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4,4%</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2,3%</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-2,5%</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-0,8%</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E80F2B">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2,7%</w:t>
            </w:r>
          </w:p>
        </w:tc>
      </w:tr>
      <w:tr w:rsidR="00E80F2B" w:rsidRPr="00E80F2B" w:rsidTr="00E80F2B">
        <w:trPr>
          <w:trHeight w:val="315"/>
        </w:trPr>
        <w:tc>
          <w:tcPr>
            <w:tcW w:w="4650"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E80F2B" w:rsidRPr="00E80F2B" w:rsidRDefault="00E80F2B" w:rsidP="00E80F2B">
            <w:pPr>
              <w:spacing w:after="0" w:line="240" w:lineRule="auto"/>
              <w:jc w:val="left"/>
              <w:rPr>
                <w:rFonts w:ascii="Calibri" w:eastAsia="Times New Roman" w:hAnsi="Calibri" w:cs="Times New Roman"/>
                <w:b/>
                <w:bCs/>
                <w:color w:val="000000"/>
                <w:sz w:val="12"/>
                <w:szCs w:val="12"/>
                <w:lang w:eastAsia="es-ES"/>
              </w:rPr>
            </w:pPr>
            <w:r w:rsidRPr="00E80F2B">
              <w:rPr>
                <w:rFonts w:ascii="Calibri" w:eastAsia="Times New Roman" w:hAnsi="Calibri" w:cs="Times New Roman"/>
                <w:b/>
                <w:bCs/>
                <w:color w:val="000000"/>
                <w:sz w:val="12"/>
                <w:szCs w:val="12"/>
                <w:lang w:eastAsia="es-ES"/>
              </w:rPr>
              <w:t>Crecimiento Win Anual Real</w:t>
            </w:r>
          </w:p>
        </w:tc>
        <w:tc>
          <w:tcPr>
            <w:tcW w:w="350" w:type="pct"/>
            <w:tcBorders>
              <w:top w:val="nil"/>
              <w:left w:val="nil"/>
              <w:bottom w:val="single" w:sz="8" w:space="0" w:color="auto"/>
              <w:right w:val="single" w:sz="8" w:space="0" w:color="auto"/>
            </w:tcBorders>
            <w:shd w:val="clear" w:color="000000" w:fill="DCE6F1"/>
            <w:noWrap/>
            <w:vAlign w:val="bottom"/>
            <w:hideMark/>
          </w:tcPr>
          <w:p w:rsidR="00E80F2B" w:rsidRPr="00E80F2B" w:rsidRDefault="00E80F2B" w:rsidP="001E2D5F">
            <w:pPr>
              <w:spacing w:after="0" w:line="240" w:lineRule="auto"/>
              <w:jc w:val="center"/>
              <w:rPr>
                <w:rFonts w:ascii="Calibri" w:eastAsia="Times New Roman" w:hAnsi="Calibri" w:cs="Times New Roman"/>
                <w:color w:val="000000"/>
                <w:sz w:val="10"/>
                <w:szCs w:val="12"/>
                <w:lang w:eastAsia="es-ES"/>
              </w:rPr>
            </w:pPr>
            <w:r w:rsidRPr="00E80F2B">
              <w:rPr>
                <w:rFonts w:ascii="Calibri" w:eastAsia="Times New Roman" w:hAnsi="Calibri" w:cs="Times New Roman"/>
                <w:color w:val="000000"/>
                <w:sz w:val="10"/>
                <w:szCs w:val="12"/>
                <w:lang w:eastAsia="es-ES"/>
              </w:rPr>
              <w:t>5,0%</w:t>
            </w:r>
          </w:p>
        </w:tc>
      </w:tr>
    </w:tbl>
    <w:p w:rsidR="00E80F2B" w:rsidRDefault="00E80F2B" w:rsidP="006A4494">
      <w:pPr>
        <w:tabs>
          <w:tab w:val="left" w:pos="0"/>
        </w:tabs>
        <w:ind w:left="-284"/>
        <w:rPr>
          <w:b/>
          <w:sz w:val="18"/>
          <w:szCs w:val="18"/>
        </w:rPr>
      </w:pPr>
    </w:p>
    <w:p w:rsidR="00D42C6C" w:rsidRDefault="002D141C" w:rsidP="006A4494">
      <w:pPr>
        <w:tabs>
          <w:tab w:val="left" w:pos="0"/>
        </w:tabs>
        <w:ind w:left="-284"/>
        <w:rPr>
          <w:sz w:val="18"/>
          <w:szCs w:val="18"/>
        </w:rPr>
      </w:pPr>
      <w:r w:rsidRPr="00EC0FC2">
        <w:rPr>
          <w:b/>
          <w:sz w:val="18"/>
          <w:szCs w:val="18"/>
        </w:rPr>
        <w:t>Nota:</w:t>
      </w:r>
      <w:r w:rsidRPr="00EC0FC2">
        <w:rPr>
          <w:sz w:val="18"/>
          <w:szCs w:val="18"/>
        </w:rPr>
        <w:t xml:space="preserve"> Considerando que a partir de este mes, la Superintendencia informará las variaciones reales de los resultados operacionales de los casinos de juego, es decir corregidas al valor de la UF del último día del mes, se adjunta la presenta tabla que mantiene la serie histórica para ambas mediciones.</w:t>
      </w:r>
    </w:p>
    <w:p w:rsidR="00161F8D" w:rsidRPr="00EC0FC2" w:rsidRDefault="00161F8D" w:rsidP="00E0320F">
      <w:pPr>
        <w:tabs>
          <w:tab w:val="left" w:pos="0"/>
          <w:tab w:val="left" w:pos="6285"/>
        </w:tabs>
        <w:rPr>
          <w:sz w:val="18"/>
          <w:szCs w:val="18"/>
        </w:rPr>
      </w:pPr>
    </w:p>
    <w:p w:rsidR="002D141C" w:rsidRDefault="002D141C" w:rsidP="00E0320F">
      <w:pPr>
        <w:pStyle w:val="Prrafodelista"/>
        <w:numPr>
          <w:ilvl w:val="0"/>
          <w:numId w:val="1"/>
        </w:numPr>
        <w:tabs>
          <w:tab w:val="left" w:pos="0"/>
          <w:tab w:val="left" w:pos="6285"/>
        </w:tabs>
        <w:ind w:left="0"/>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sidR="003D15B6">
        <w:rPr>
          <w:b/>
        </w:rPr>
        <w:t>: Año 2014-2016</w:t>
      </w:r>
    </w:p>
    <w:p w:rsidR="009858E3" w:rsidRDefault="00563030" w:rsidP="00E0320F">
      <w:pPr>
        <w:tabs>
          <w:tab w:val="left" w:pos="0"/>
          <w:tab w:val="left" w:pos="6285"/>
        </w:tabs>
      </w:pPr>
      <w:r>
        <w:rPr>
          <w:noProof/>
          <w:lang w:eastAsia="es-ES"/>
        </w:rPr>
        <w:drawing>
          <wp:inline distT="0" distB="0" distL="0" distR="0" wp14:anchorId="37D009BE">
            <wp:extent cx="5603358" cy="198064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4222" cy="1984483"/>
                    </a:xfrm>
                    <a:prstGeom prst="rect">
                      <a:avLst/>
                    </a:prstGeom>
                    <a:noFill/>
                  </pic:spPr>
                </pic:pic>
              </a:graphicData>
            </a:graphic>
          </wp:inline>
        </w:drawing>
      </w: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6A4494" w:rsidRDefault="006A4494" w:rsidP="00E0320F">
      <w:pPr>
        <w:tabs>
          <w:tab w:val="left" w:pos="0"/>
          <w:tab w:val="left" w:pos="6285"/>
        </w:tabs>
      </w:pPr>
    </w:p>
    <w:p w:rsidR="002D141C" w:rsidRDefault="002D141C" w:rsidP="00E0320F">
      <w:pPr>
        <w:pStyle w:val="Prrafodelista"/>
        <w:numPr>
          <w:ilvl w:val="0"/>
          <w:numId w:val="1"/>
        </w:numPr>
        <w:tabs>
          <w:tab w:val="left" w:pos="0"/>
          <w:tab w:val="left" w:pos="6285"/>
        </w:tabs>
        <w:ind w:left="0"/>
        <w:jc w:val="left"/>
        <w:rPr>
          <w:b/>
        </w:rPr>
      </w:pPr>
      <w:r w:rsidRPr="002D141C">
        <w:rPr>
          <w:b/>
        </w:rPr>
        <w:lastRenderedPageBreak/>
        <w:t>Evolución IVA, valores reales (UF)</w:t>
      </w:r>
      <w:r w:rsidR="003D15B6">
        <w:rPr>
          <w:b/>
        </w:rPr>
        <w:t>: Año 2014-2016</w:t>
      </w:r>
    </w:p>
    <w:p w:rsidR="00161F8D" w:rsidRDefault="00161F8D" w:rsidP="00E0320F">
      <w:pPr>
        <w:pStyle w:val="Prrafodelista"/>
        <w:tabs>
          <w:tab w:val="left" w:pos="0"/>
          <w:tab w:val="left" w:pos="6285"/>
        </w:tabs>
        <w:ind w:left="0"/>
        <w:jc w:val="left"/>
      </w:pPr>
    </w:p>
    <w:p w:rsidR="00161F8D" w:rsidRDefault="00563030" w:rsidP="00E0320F">
      <w:pPr>
        <w:pStyle w:val="Prrafodelista"/>
        <w:tabs>
          <w:tab w:val="left" w:pos="0"/>
        </w:tabs>
        <w:ind w:left="0"/>
        <w:jc w:val="left"/>
      </w:pPr>
      <w:r>
        <w:rPr>
          <w:noProof/>
          <w:lang w:eastAsia="es-ES"/>
        </w:rPr>
        <w:drawing>
          <wp:inline distT="0" distB="0" distL="0" distR="0" wp14:anchorId="2DC0B1E6">
            <wp:extent cx="5371909" cy="1903228"/>
            <wp:effectExtent l="0" t="0" r="635"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411" cy="1906594"/>
                    </a:xfrm>
                    <a:prstGeom prst="rect">
                      <a:avLst/>
                    </a:prstGeom>
                    <a:noFill/>
                  </pic:spPr>
                </pic:pic>
              </a:graphicData>
            </a:graphic>
          </wp:inline>
        </w:drawing>
      </w:r>
    </w:p>
    <w:p w:rsidR="009858E3" w:rsidRDefault="009858E3" w:rsidP="00E0320F">
      <w:pPr>
        <w:tabs>
          <w:tab w:val="left" w:pos="0"/>
        </w:tabs>
        <w:jc w:val="center"/>
      </w:pPr>
    </w:p>
    <w:p w:rsidR="00E80F2B" w:rsidRPr="00E80F2B" w:rsidRDefault="002D141C" w:rsidP="00E80F2B">
      <w:pPr>
        <w:pStyle w:val="Prrafodelista"/>
        <w:numPr>
          <w:ilvl w:val="0"/>
          <w:numId w:val="1"/>
        </w:numPr>
        <w:tabs>
          <w:tab w:val="left" w:pos="0"/>
          <w:tab w:val="left" w:pos="6285"/>
        </w:tabs>
        <w:ind w:left="0" w:hanging="426"/>
        <w:jc w:val="left"/>
        <w:rPr>
          <w:b/>
        </w:rPr>
      </w:pPr>
      <w:r w:rsidRPr="002D141C">
        <w:rPr>
          <w:b/>
        </w:rPr>
        <w:t xml:space="preserve">Evolución impuesto </w:t>
      </w:r>
      <w:r w:rsidR="00161F8D">
        <w:rPr>
          <w:b/>
        </w:rPr>
        <w:t>por entradas</w:t>
      </w:r>
      <w:r w:rsidRPr="002D141C">
        <w:rPr>
          <w:b/>
        </w:rPr>
        <w:t>, valores reales (UF)</w:t>
      </w:r>
      <w:r w:rsidR="00E80F2B">
        <w:rPr>
          <w:b/>
        </w:rPr>
        <w:t>: Año 2014-2016</w:t>
      </w:r>
    </w:p>
    <w:p w:rsidR="006A4494" w:rsidRDefault="001E2D5F" w:rsidP="00E80F2B">
      <w:pPr>
        <w:pStyle w:val="Prrafodelista"/>
        <w:tabs>
          <w:tab w:val="left" w:pos="0"/>
          <w:tab w:val="left" w:pos="6285"/>
        </w:tabs>
        <w:ind w:left="0"/>
        <w:jc w:val="left"/>
        <w:rPr>
          <w:b/>
        </w:rPr>
      </w:pPr>
      <w:r>
        <w:rPr>
          <w:b/>
          <w:noProof/>
          <w:lang w:eastAsia="es-ES"/>
        </w:rPr>
        <w:drawing>
          <wp:inline distT="0" distB="0" distL="0" distR="0" wp14:anchorId="2F7E50E8">
            <wp:extent cx="5423162" cy="1920225"/>
            <wp:effectExtent l="0" t="0" r="635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9658" cy="1936688"/>
                    </a:xfrm>
                    <a:prstGeom prst="rect">
                      <a:avLst/>
                    </a:prstGeom>
                    <a:noFill/>
                  </pic:spPr>
                </pic:pic>
              </a:graphicData>
            </a:graphic>
          </wp:inline>
        </w:drawing>
      </w:r>
    </w:p>
    <w:p w:rsidR="00E80F2B" w:rsidRPr="00E0320F" w:rsidRDefault="00E80F2B" w:rsidP="00E80F2B">
      <w:pPr>
        <w:pStyle w:val="Prrafodelista"/>
        <w:tabs>
          <w:tab w:val="left" w:pos="0"/>
          <w:tab w:val="left" w:pos="6285"/>
        </w:tabs>
        <w:ind w:left="0"/>
        <w:jc w:val="left"/>
        <w:rPr>
          <w:b/>
        </w:rPr>
      </w:pPr>
    </w:p>
    <w:p w:rsidR="00F9221C" w:rsidRPr="00E80F2B" w:rsidRDefault="00F9221C" w:rsidP="00E80F2B">
      <w:pPr>
        <w:pStyle w:val="Prrafodelista"/>
        <w:numPr>
          <w:ilvl w:val="0"/>
          <w:numId w:val="1"/>
        </w:numPr>
        <w:tabs>
          <w:tab w:val="left" w:pos="0"/>
          <w:tab w:val="left" w:pos="6285"/>
        </w:tabs>
        <w:ind w:left="0" w:hanging="426"/>
        <w:jc w:val="left"/>
        <w:rPr>
          <w:b/>
        </w:rPr>
      </w:pPr>
      <w:r w:rsidRPr="00E80F2B">
        <w:rPr>
          <w:b/>
        </w:rPr>
        <w:t>Ingresos brutos del juego o win por casino de juego, valores reales (UF)</w:t>
      </w:r>
      <w:r w:rsidR="00E80F2B">
        <w:rPr>
          <w:b/>
        </w:rPr>
        <w:t>: Jul</w:t>
      </w:r>
      <w:r w:rsidR="00F86774" w:rsidRPr="00E80F2B">
        <w:rPr>
          <w:b/>
        </w:rPr>
        <w:t>io</w:t>
      </w:r>
      <w:r w:rsidR="004830B6" w:rsidRPr="00E80F2B">
        <w:rPr>
          <w:b/>
        </w:rPr>
        <w:t xml:space="preserve"> 2015</w:t>
      </w:r>
      <w:r w:rsidR="000F3DC9" w:rsidRPr="00E80F2B">
        <w:rPr>
          <w:b/>
        </w:rPr>
        <w:t xml:space="preserve"> </w:t>
      </w:r>
      <w:r w:rsidR="004830B6" w:rsidRPr="00E80F2B">
        <w:rPr>
          <w:b/>
        </w:rPr>
        <w:t>-</w:t>
      </w:r>
      <w:r w:rsidR="00E80F2B">
        <w:rPr>
          <w:b/>
        </w:rPr>
        <w:t xml:space="preserve"> Jul</w:t>
      </w:r>
      <w:r w:rsidR="00F86774" w:rsidRPr="00E80F2B">
        <w:rPr>
          <w:b/>
        </w:rPr>
        <w:t>io</w:t>
      </w:r>
      <w:r w:rsidR="004830B6" w:rsidRPr="00E80F2B">
        <w:rPr>
          <w:b/>
        </w:rPr>
        <w:t xml:space="preserve"> </w:t>
      </w:r>
      <w:r w:rsidR="003D15B6" w:rsidRPr="00E80F2B">
        <w:rPr>
          <w:b/>
        </w:rPr>
        <w:t>2016</w:t>
      </w:r>
    </w:p>
    <w:p w:rsidR="000F3DC9" w:rsidRPr="000F3DC9" w:rsidRDefault="000F3DC9" w:rsidP="00E0320F">
      <w:pPr>
        <w:pStyle w:val="Prrafodelista"/>
        <w:tabs>
          <w:tab w:val="left" w:pos="0"/>
          <w:tab w:val="left" w:pos="360"/>
          <w:tab w:val="left" w:pos="6285"/>
        </w:tabs>
        <w:ind w:left="0"/>
        <w:jc w:val="left"/>
        <w:rPr>
          <w:sz w:val="20"/>
          <w:szCs w:val="20"/>
        </w:rPr>
      </w:pPr>
    </w:p>
    <w:p w:rsidR="00F9221C" w:rsidRDefault="00E80F2B" w:rsidP="00E0320F">
      <w:pPr>
        <w:pStyle w:val="Prrafodelista"/>
        <w:tabs>
          <w:tab w:val="left" w:pos="0"/>
          <w:tab w:val="left" w:pos="360"/>
          <w:tab w:val="left" w:pos="6285"/>
        </w:tabs>
        <w:ind w:left="0" w:hanging="142"/>
        <w:jc w:val="left"/>
        <w:rPr>
          <w:b/>
        </w:rPr>
      </w:pPr>
      <w:r>
        <w:rPr>
          <w:b/>
          <w:noProof/>
          <w:lang w:eastAsia="es-ES"/>
        </w:rPr>
        <w:drawing>
          <wp:inline distT="0" distB="0" distL="0" distR="0" wp14:anchorId="75115FC6">
            <wp:extent cx="5491089" cy="23717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0883" cy="2375955"/>
                    </a:xfrm>
                    <a:prstGeom prst="rect">
                      <a:avLst/>
                    </a:prstGeom>
                    <a:noFill/>
                  </pic:spPr>
                </pic:pic>
              </a:graphicData>
            </a:graphic>
          </wp:inline>
        </w:drawing>
      </w:r>
    </w:p>
    <w:p w:rsidR="00F9221C" w:rsidRDefault="00F9221C" w:rsidP="00E0320F">
      <w:pPr>
        <w:pStyle w:val="Prrafodelista"/>
        <w:tabs>
          <w:tab w:val="left" w:pos="0"/>
          <w:tab w:val="left" w:pos="360"/>
          <w:tab w:val="left" w:pos="6285"/>
        </w:tabs>
        <w:ind w:left="0"/>
        <w:jc w:val="left"/>
        <w:rPr>
          <w:b/>
        </w:rPr>
      </w:pPr>
    </w:p>
    <w:p w:rsidR="00F86774" w:rsidRDefault="00F86774" w:rsidP="00E0320F">
      <w:pPr>
        <w:pStyle w:val="Prrafodelista"/>
        <w:tabs>
          <w:tab w:val="left" w:pos="0"/>
          <w:tab w:val="left" w:pos="360"/>
          <w:tab w:val="left" w:pos="6285"/>
        </w:tabs>
        <w:ind w:left="0"/>
        <w:jc w:val="left"/>
        <w:rPr>
          <w:b/>
        </w:rPr>
      </w:pPr>
    </w:p>
    <w:p w:rsidR="00982E0D" w:rsidRDefault="00982E0D" w:rsidP="00E0320F">
      <w:pPr>
        <w:pStyle w:val="Prrafodelista"/>
        <w:tabs>
          <w:tab w:val="left" w:pos="0"/>
          <w:tab w:val="left" w:pos="360"/>
          <w:tab w:val="left" w:pos="6285"/>
        </w:tabs>
        <w:ind w:left="0"/>
        <w:jc w:val="left"/>
        <w:rPr>
          <w:b/>
        </w:rPr>
      </w:pPr>
    </w:p>
    <w:p w:rsidR="00F9221C" w:rsidRPr="00F9221C" w:rsidRDefault="00F9221C" w:rsidP="00B0351E">
      <w:pPr>
        <w:pStyle w:val="Prrafodelista"/>
        <w:numPr>
          <w:ilvl w:val="0"/>
          <w:numId w:val="1"/>
        </w:numPr>
        <w:tabs>
          <w:tab w:val="left" w:pos="0"/>
          <w:tab w:val="left" w:pos="360"/>
          <w:tab w:val="left" w:pos="6285"/>
        </w:tabs>
        <w:ind w:left="0" w:firstLine="0"/>
        <w:jc w:val="left"/>
        <w:rPr>
          <w:b/>
        </w:rPr>
      </w:pPr>
      <w:r>
        <w:rPr>
          <w:b/>
        </w:rPr>
        <w:lastRenderedPageBreak/>
        <w:t>Gasto promedio por visita</w:t>
      </w:r>
      <w:r w:rsidR="004830B6">
        <w:rPr>
          <w:b/>
        </w:rPr>
        <w:t xml:space="preserve"> </w:t>
      </w:r>
      <w:r w:rsidR="00303081">
        <w:rPr>
          <w:b/>
        </w:rPr>
        <w:t>Ju</w:t>
      </w:r>
      <w:r w:rsidR="00E80F2B">
        <w:rPr>
          <w:b/>
        </w:rPr>
        <w:t>l</w:t>
      </w:r>
      <w:r w:rsidR="00303081">
        <w:rPr>
          <w:b/>
        </w:rPr>
        <w:t xml:space="preserve">io </w:t>
      </w:r>
      <w:r w:rsidR="003D15B6">
        <w:rPr>
          <w:b/>
        </w:rPr>
        <w:t>de 2016</w:t>
      </w:r>
      <w:r>
        <w:rPr>
          <w:b/>
        </w:rPr>
        <w:t>, valores nominales ($)</w:t>
      </w:r>
    </w:p>
    <w:p w:rsidR="009858E3" w:rsidRDefault="00E80F2B" w:rsidP="00E0320F">
      <w:pPr>
        <w:tabs>
          <w:tab w:val="left" w:pos="0"/>
          <w:tab w:val="left" w:pos="6285"/>
        </w:tabs>
        <w:jc w:val="center"/>
        <w:rPr>
          <w:szCs w:val="21"/>
        </w:rPr>
      </w:pPr>
      <w:r>
        <w:rPr>
          <w:noProof/>
          <w:szCs w:val="21"/>
          <w:lang w:eastAsia="es-ES"/>
        </w:rPr>
        <w:drawing>
          <wp:inline distT="0" distB="0" distL="0" distR="0" wp14:anchorId="63438D18">
            <wp:extent cx="5524500" cy="387034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385" cy="3870963"/>
                    </a:xfrm>
                    <a:prstGeom prst="rect">
                      <a:avLst/>
                    </a:prstGeom>
                    <a:noFill/>
                  </pic:spPr>
                </pic:pic>
              </a:graphicData>
            </a:graphic>
          </wp:inline>
        </w:drawing>
      </w:r>
    </w:p>
    <w:p w:rsidR="00F9221C" w:rsidRPr="003D15B6" w:rsidRDefault="00F9221C" w:rsidP="00B0351E">
      <w:pPr>
        <w:pStyle w:val="Prrafodelista"/>
        <w:numPr>
          <w:ilvl w:val="0"/>
          <w:numId w:val="1"/>
        </w:numPr>
        <w:tabs>
          <w:tab w:val="left" w:pos="0"/>
        </w:tabs>
        <w:ind w:left="0" w:firstLine="0"/>
        <w:rPr>
          <w:b/>
          <w:szCs w:val="21"/>
        </w:rPr>
      </w:pPr>
      <w:r w:rsidRPr="003D15B6">
        <w:rPr>
          <w:b/>
          <w:szCs w:val="21"/>
        </w:rPr>
        <w:t>Monto total apostado</w:t>
      </w:r>
      <w:r w:rsidR="003D15B6">
        <w:rPr>
          <w:b/>
          <w:szCs w:val="21"/>
        </w:rPr>
        <w:t xml:space="preserve"> máquinas de azar, valores nominales ($): </w:t>
      </w:r>
      <w:r w:rsidR="00F86774">
        <w:rPr>
          <w:b/>
          <w:szCs w:val="21"/>
        </w:rPr>
        <w:t>Ju</w:t>
      </w:r>
      <w:r w:rsidR="00E80F2B">
        <w:rPr>
          <w:b/>
          <w:szCs w:val="21"/>
        </w:rPr>
        <w:t>l</w:t>
      </w:r>
      <w:r w:rsidR="00F86774">
        <w:rPr>
          <w:b/>
          <w:szCs w:val="21"/>
        </w:rPr>
        <w:t>io</w:t>
      </w:r>
      <w:r w:rsidR="004830B6">
        <w:rPr>
          <w:b/>
          <w:szCs w:val="21"/>
        </w:rPr>
        <w:t xml:space="preserve"> </w:t>
      </w:r>
      <w:r w:rsidR="003D15B6">
        <w:rPr>
          <w:b/>
          <w:szCs w:val="21"/>
        </w:rPr>
        <w:t>de 2016</w:t>
      </w:r>
    </w:p>
    <w:p w:rsidR="009858E3" w:rsidRDefault="00E80F2B" w:rsidP="00E0320F">
      <w:pPr>
        <w:tabs>
          <w:tab w:val="left" w:pos="0"/>
          <w:tab w:val="left" w:pos="6285"/>
        </w:tabs>
        <w:jc w:val="center"/>
        <w:rPr>
          <w:szCs w:val="21"/>
        </w:rPr>
      </w:pPr>
      <w:r>
        <w:rPr>
          <w:noProof/>
          <w:szCs w:val="21"/>
          <w:lang w:eastAsia="es-ES"/>
        </w:rPr>
        <w:drawing>
          <wp:inline distT="0" distB="0" distL="0" distR="0" wp14:anchorId="011374FC">
            <wp:extent cx="3066429" cy="3698544"/>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0784" cy="3703796"/>
                    </a:xfrm>
                    <a:prstGeom prst="rect">
                      <a:avLst/>
                    </a:prstGeom>
                    <a:noFill/>
                  </pic:spPr>
                </pic:pic>
              </a:graphicData>
            </a:graphic>
          </wp:inline>
        </w:drawing>
      </w:r>
    </w:p>
    <w:p w:rsidR="009858E3" w:rsidRPr="003D15B6" w:rsidRDefault="003D15B6" w:rsidP="00B0351E">
      <w:pPr>
        <w:pStyle w:val="Prrafodelista"/>
        <w:numPr>
          <w:ilvl w:val="0"/>
          <w:numId w:val="1"/>
        </w:numPr>
        <w:tabs>
          <w:tab w:val="left" w:pos="0"/>
        </w:tabs>
        <w:ind w:left="0" w:firstLine="0"/>
        <w:jc w:val="left"/>
        <w:rPr>
          <w:b/>
          <w:sz w:val="21"/>
          <w:szCs w:val="21"/>
        </w:rPr>
      </w:pPr>
      <w:r>
        <w:rPr>
          <w:b/>
          <w:sz w:val="21"/>
          <w:szCs w:val="21"/>
        </w:rPr>
        <w:lastRenderedPageBreak/>
        <w:t xml:space="preserve">Máquinas de Azar: </w:t>
      </w:r>
      <w:r w:rsidRPr="003D15B6">
        <w:rPr>
          <w:b/>
          <w:sz w:val="21"/>
          <w:szCs w:val="21"/>
        </w:rPr>
        <w:t>Montos apostados y premios ganados máquinas de a</w:t>
      </w:r>
      <w:r w:rsidR="004830B6">
        <w:rPr>
          <w:b/>
          <w:sz w:val="21"/>
          <w:szCs w:val="21"/>
        </w:rPr>
        <w:t xml:space="preserve">zar, valores nominales ($): </w:t>
      </w:r>
      <w:r w:rsidR="00E80F2B">
        <w:rPr>
          <w:b/>
          <w:sz w:val="21"/>
          <w:szCs w:val="21"/>
        </w:rPr>
        <w:t>Jul</w:t>
      </w:r>
      <w:r w:rsidR="00C005EA">
        <w:rPr>
          <w:b/>
          <w:sz w:val="21"/>
          <w:szCs w:val="21"/>
        </w:rPr>
        <w:t>io</w:t>
      </w:r>
      <w:r w:rsidRPr="003D15B6">
        <w:rPr>
          <w:b/>
          <w:sz w:val="21"/>
          <w:szCs w:val="21"/>
        </w:rPr>
        <w:t xml:space="preserve"> de 2016</w:t>
      </w:r>
    </w:p>
    <w:tbl>
      <w:tblPr>
        <w:tblW w:w="8960" w:type="dxa"/>
        <w:tblCellMar>
          <w:left w:w="70" w:type="dxa"/>
          <w:right w:w="70" w:type="dxa"/>
        </w:tblCellMar>
        <w:tblLook w:val="04A0" w:firstRow="1" w:lastRow="0" w:firstColumn="1" w:lastColumn="0" w:noHBand="0" w:noVBand="1"/>
      </w:tblPr>
      <w:tblGrid>
        <w:gridCol w:w="2920"/>
        <w:gridCol w:w="2640"/>
        <w:gridCol w:w="2320"/>
        <w:gridCol w:w="1080"/>
      </w:tblGrid>
      <w:tr w:rsidR="00563030" w:rsidRPr="00563030" w:rsidTr="00563030">
        <w:trPr>
          <w:trHeight w:val="765"/>
        </w:trPr>
        <w:tc>
          <w:tcPr>
            <w:tcW w:w="2920" w:type="dxa"/>
            <w:tcBorders>
              <w:top w:val="single" w:sz="4" w:space="0" w:color="808080"/>
              <w:left w:val="single" w:sz="4" w:space="0" w:color="808080"/>
              <w:bottom w:val="nil"/>
              <w:right w:val="single" w:sz="4" w:space="0" w:color="808080"/>
            </w:tcBorders>
            <w:shd w:val="clear" w:color="000000" w:fill="1F497D"/>
            <w:noWrap/>
            <w:vAlign w:val="center"/>
            <w:hideMark/>
          </w:tcPr>
          <w:p w:rsidR="00563030" w:rsidRPr="00563030" w:rsidRDefault="00563030" w:rsidP="00563030">
            <w:pPr>
              <w:spacing w:after="0" w:line="240" w:lineRule="auto"/>
              <w:jc w:val="center"/>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 xml:space="preserve">Casino de Juego </w:t>
            </w:r>
          </w:p>
        </w:tc>
        <w:tc>
          <w:tcPr>
            <w:tcW w:w="2640" w:type="dxa"/>
            <w:tcBorders>
              <w:top w:val="single" w:sz="4" w:space="0" w:color="808080"/>
              <w:left w:val="nil"/>
              <w:bottom w:val="nil"/>
              <w:right w:val="single" w:sz="4" w:space="0" w:color="808080"/>
            </w:tcBorders>
            <w:shd w:val="clear" w:color="000000" w:fill="1F497D"/>
            <w:vAlign w:val="center"/>
            <w:hideMark/>
          </w:tcPr>
          <w:p w:rsidR="00563030" w:rsidRPr="00563030" w:rsidRDefault="00563030" w:rsidP="00563030">
            <w:pPr>
              <w:spacing w:after="0" w:line="240" w:lineRule="auto"/>
              <w:jc w:val="center"/>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Monto total apostado</w:t>
            </w:r>
          </w:p>
        </w:tc>
        <w:tc>
          <w:tcPr>
            <w:tcW w:w="2320" w:type="dxa"/>
            <w:tcBorders>
              <w:top w:val="single" w:sz="4" w:space="0" w:color="808080"/>
              <w:left w:val="nil"/>
              <w:bottom w:val="nil"/>
              <w:right w:val="single" w:sz="4" w:space="0" w:color="808080"/>
            </w:tcBorders>
            <w:shd w:val="clear" w:color="000000" w:fill="1F497D"/>
            <w:vAlign w:val="center"/>
            <w:hideMark/>
          </w:tcPr>
          <w:p w:rsidR="00563030" w:rsidRPr="00563030" w:rsidRDefault="00563030" w:rsidP="00563030">
            <w:pPr>
              <w:spacing w:after="0" w:line="240" w:lineRule="auto"/>
              <w:jc w:val="center"/>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Premios ganados</w:t>
            </w:r>
          </w:p>
        </w:tc>
        <w:tc>
          <w:tcPr>
            <w:tcW w:w="1080" w:type="dxa"/>
            <w:tcBorders>
              <w:top w:val="single" w:sz="4" w:space="0" w:color="808080"/>
              <w:left w:val="nil"/>
              <w:bottom w:val="nil"/>
              <w:right w:val="single" w:sz="4" w:space="0" w:color="808080"/>
            </w:tcBorders>
            <w:shd w:val="clear" w:color="000000" w:fill="1F497D"/>
            <w:vAlign w:val="center"/>
            <w:hideMark/>
          </w:tcPr>
          <w:p w:rsidR="00563030" w:rsidRPr="00563030" w:rsidRDefault="00563030" w:rsidP="00563030">
            <w:pPr>
              <w:spacing w:after="0" w:line="240" w:lineRule="auto"/>
              <w:jc w:val="center"/>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 xml:space="preserve">Porcentaje de retorno </w:t>
            </w:r>
          </w:p>
        </w:tc>
      </w:tr>
      <w:tr w:rsidR="00563030" w:rsidRPr="00563030" w:rsidTr="00563030">
        <w:trPr>
          <w:trHeight w:val="300"/>
        </w:trPr>
        <w:tc>
          <w:tcPr>
            <w:tcW w:w="292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Casino Gran Los Ángeles</w:t>
            </w:r>
          </w:p>
        </w:tc>
        <w:tc>
          <w:tcPr>
            <w:tcW w:w="2640" w:type="dxa"/>
            <w:tcBorders>
              <w:top w:val="single" w:sz="4" w:space="0" w:color="808080"/>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5.373 </w:t>
            </w:r>
          </w:p>
        </w:tc>
        <w:tc>
          <w:tcPr>
            <w:tcW w:w="2320" w:type="dxa"/>
            <w:tcBorders>
              <w:top w:val="single" w:sz="4" w:space="0" w:color="808080"/>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5.079 </w:t>
            </w:r>
          </w:p>
        </w:tc>
        <w:tc>
          <w:tcPr>
            <w:tcW w:w="1080" w:type="dxa"/>
            <w:tcBorders>
              <w:top w:val="single" w:sz="4" w:space="0" w:color="808080"/>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94,5%</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Sun Monticello</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90.405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85.309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94,4%</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Dreams Temuco</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30.260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28.534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94,3%</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center"/>
            <w:hideMark/>
          </w:tcPr>
          <w:p w:rsidR="00563030" w:rsidRPr="00563030" w:rsidRDefault="00563030" w:rsidP="00563030">
            <w:pPr>
              <w:spacing w:after="0" w:line="240" w:lineRule="auto"/>
              <w:jc w:val="left"/>
              <w:rPr>
                <w:rFonts w:ascii="Calibri" w:eastAsia="Times New Roman" w:hAnsi="Calibri" w:cs="Times New Roman"/>
                <w:b/>
                <w:bCs/>
                <w:sz w:val="18"/>
                <w:szCs w:val="18"/>
                <w:lang w:eastAsia="es-ES"/>
              </w:rPr>
            </w:pPr>
            <w:r w:rsidRPr="00563030">
              <w:rPr>
                <w:rFonts w:ascii="Calibri" w:eastAsia="Times New Roman" w:hAnsi="Calibri" w:cs="Times New Roman"/>
                <w:b/>
                <w:bCs/>
                <w:sz w:val="18"/>
                <w:szCs w:val="18"/>
                <w:lang w:eastAsia="es-ES"/>
              </w:rPr>
              <w:t>Casino Rinconada</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41.194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38.842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94,3%</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Dreams Valdivia</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16.115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15.151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94,0%</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Marina del Sol Talcahuano</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53.332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50.096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93,9%</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Antay Casino &amp; Hotel</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12.641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11.859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93,8%</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Enjoy Antofagasta</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31.799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29.795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93,7%</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Dreams Coyhaique</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5.717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5.327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93,2%</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Marina del Sol Osorno</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10.530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9.806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93,1%</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Enjoy Chiloé</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3.995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3.714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93,0%</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Gran Casino de Talca</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13.218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12.269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92,8%</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Casino de Colchagua</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6.143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5.702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92,8%</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Dreams Punta Arenas</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20.322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18.853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92,8%</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left"/>
              <w:rPr>
                <w:rFonts w:ascii="Calibri" w:eastAsia="Times New Roman" w:hAnsi="Calibri" w:cs="Times New Roman"/>
                <w:b/>
                <w:bCs/>
                <w:color w:val="000000"/>
                <w:sz w:val="18"/>
                <w:szCs w:val="18"/>
                <w:lang w:eastAsia="es-ES"/>
              </w:rPr>
            </w:pPr>
            <w:r w:rsidRPr="00563030">
              <w:rPr>
                <w:rFonts w:ascii="Calibri" w:eastAsia="Times New Roman" w:hAnsi="Calibri" w:cs="Times New Roman"/>
                <w:b/>
                <w:bCs/>
                <w:color w:val="000000"/>
                <w:sz w:val="18"/>
                <w:szCs w:val="18"/>
                <w:lang w:eastAsia="es-ES"/>
              </w:rPr>
              <w:t>Marina del Sol Calama</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12.120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11.225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92,6%</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FFFFFF"/>
            <w:noWrap/>
            <w:vAlign w:val="center"/>
            <w:hideMark/>
          </w:tcPr>
          <w:p w:rsidR="00563030" w:rsidRPr="00563030" w:rsidRDefault="00563030" w:rsidP="00563030">
            <w:pPr>
              <w:spacing w:after="0" w:line="240" w:lineRule="auto"/>
              <w:jc w:val="left"/>
              <w:rPr>
                <w:rFonts w:ascii="Calibri" w:eastAsia="Times New Roman" w:hAnsi="Calibri" w:cs="Times New Roman"/>
                <w:b/>
                <w:bCs/>
                <w:sz w:val="18"/>
                <w:szCs w:val="18"/>
                <w:lang w:eastAsia="es-ES"/>
              </w:rPr>
            </w:pPr>
            <w:r w:rsidRPr="00563030">
              <w:rPr>
                <w:rFonts w:ascii="Calibri" w:eastAsia="Times New Roman" w:hAnsi="Calibri" w:cs="Times New Roman"/>
                <w:b/>
                <w:bCs/>
                <w:sz w:val="18"/>
                <w:szCs w:val="18"/>
                <w:lang w:eastAsia="es-ES"/>
              </w:rPr>
              <w:t>Casino de Juegos del Pacífico</w:t>
            </w:r>
          </w:p>
        </w:tc>
        <w:tc>
          <w:tcPr>
            <w:tcW w:w="264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8.162 </w:t>
            </w:r>
          </w:p>
        </w:tc>
        <w:tc>
          <w:tcPr>
            <w:tcW w:w="232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 xml:space="preserve">7.558 </w:t>
            </w:r>
          </w:p>
        </w:tc>
        <w:tc>
          <w:tcPr>
            <w:tcW w:w="1080" w:type="dxa"/>
            <w:tcBorders>
              <w:top w:val="nil"/>
              <w:left w:val="nil"/>
              <w:bottom w:val="single" w:sz="4" w:space="0" w:color="808080"/>
              <w:right w:val="single" w:sz="4" w:space="0" w:color="808080"/>
            </w:tcBorders>
            <w:shd w:val="clear" w:color="000000" w:fill="FFFFFF"/>
            <w:noWrap/>
            <w:vAlign w:val="bottom"/>
            <w:hideMark/>
          </w:tcPr>
          <w:p w:rsidR="00563030" w:rsidRPr="00563030" w:rsidRDefault="00563030" w:rsidP="00563030">
            <w:pPr>
              <w:spacing w:after="0" w:line="240" w:lineRule="auto"/>
              <w:jc w:val="right"/>
              <w:rPr>
                <w:rFonts w:ascii="Calibri" w:eastAsia="Times New Roman" w:hAnsi="Calibri" w:cs="Times New Roman"/>
                <w:sz w:val="18"/>
                <w:szCs w:val="18"/>
                <w:lang w:eastAsia="es-ES"/>
              </w:rPr>
            </w:pPr>
            <w:r w:rsidRPr="00563030">
              <w:rPr>
                <w:rFonts w:ascii="Calibri" w:eastAsia="Times New Roman" w:hAnsi="Calibri" w:cs="Times New Roman"/>
                <w:sz w:val="18"/>
                <w:szCs w:val="18"/>
                <w:lang w:eastAsia="es-ES"/>
              </w:rPr>
              <w:t>92,6%</w:t>
            </w:r>
          </w:p>
        </w:tc>
      </w:tr>
      <w:tr w:rsidR="00563030" w:rsidRPr="00563030" w:rsidTr="00563030">
        <w:trPr>
          <w:trHeight w:val="300"/>
        </w:trPr>
        <w:tc>
          <w:tcPr>
            <w:tcW w:w="2920" w:type="dxa"/>
            <w:tcBorders>
              <w:top w:val="nil"/>
              <w:left w:val="single" w:sz="4" w:space="0" w:color="808080"/>
              <w:bottom w:val="single" w:sz="4" w:space="0" w:color="808080"/>
              <w:right w:val="single" w:sz="4" w:space="0" w:color="808080"/>
            </w:tcBorders>
            <w:shd w:val="clear" w:color="000000" w:fill="1F497D"/>
            <w:noWrap/>
            <w:vAlign w:val="bottom"/>
            <w:hideMark/>
          </w:tcPr>
          <w:p w:rsidR="00563030" w:rsidRPr="00563030" w:rsidRDefault="00563030" w:rsidP="00563030">
            <w:pPr>
              <w:spacing w:after="0" w:line="240" w:lineRule="auto"/>
              <w:jc w:val="left"/>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Total</w:t>
            </w:r>
          </w:p>
        </w:tc>
        <w:tc>
          <w:tcPr>
            <w:tcW w:w="2640" w:type="dxa"/>
            <w:tcBorders>
              <w:top w:val="nil"/>
              <w:left w:val="nil"/>
              <w:bottom w:val="single" w:sz="4" w:space="0" w:color="808080"/>
              <w:right w:val="single" w:sz="4" w:space="0" w:color="808080"/>
            </w:tcBorders>
            <w:shd w:val="clear" w:color="000000" w:fill="1F497D"/>
            <w:noWrap/>
            <w:vAlign w:val="bottom"/>
            <w:hideMark/>
          </w:tcPr>
          <w:p w:rsidR="00563030" w:rsidRPr="00563030" w:rsidRDefault="00563030" w:rsidP="00563030">
            <w:pPr>
              <w:spacing w:after="0" w:line="240" w:lineRule="auto"/>
              <w:jc w:val="right"/>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 xml:space="preserve">361.327 </w:t>
            </w:r>
          </w:p>
        </w:tc>
        <w:tc>
          <w:tcPr>
            <w:tcW w:w="2320" w:type="dxa"/>
            <w:tcBorders>
              <w:top w:val="nil"/>
              <w:left w:val="nil"/>
              <w:bottom w:val="single" w:sz="4" w:space="0" w:color="808080"/>
              <w:right w:val="single" w:sz="4" w:space="0" w:color="808080"/>
            </w:tcBorders>
            <w:shd w:val="clear" w:color="000000" w:fill="1F497D"/>
            <w:noWrap/>
            <w:vAlign w:val="bottom"/>
            <w:hideMark/>
          </w:tcPr>
          <w:p w:rsidR="00563030" w:rsidRPr="00563030" w:rsidRDefault="00563030" w:rsidP="00563030">
            <w:pPr>
              <w:spacing w:after="0" w:line="240" w:lineRule="auto"/>
              <w:jc w:val="right"/>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 xml:space="preserve">339.119 </w:t>
            </w:r>
          </w:p>
        </w:tc>
        <w:tc>
          <w:tcPr>
            <w:tcW w:w="1080" w:type="dxa"/>
            <w:tcBorders>
              <w:top w:val="nil"/>
              <w:left w:val="nil"/>
              <w:bottom w:val="single" w:sz="4" w:space="0" w:color="808080"/>
              <w:right w:val="single" w:sz="4" w:space="0" w:color="808080"/>
            </w:tcBorders>
            <w:shd w:val="clear" w:color="000000" w:fill="1F497D"/>
            <w:noWrap/>
            <w:vAlign w:val="bottom"/>
            <w:hideMark/>
          </w:tcPr>
          <w:p w:rsidR="00563030" w:rsidRPr="00563030" w:rsidRDefault="00563030" w:rsidP="00563030">
            <w:pPr>
              <w:spacing w:after="0" w:line="240" w:lineRule="auto"/>
              <w:jc w:val="right"/>
              <w:rPr>
                <w:rFonts w:ascii="Calibri" w:eastAsia="Times New Roman" w:hAnsi="Calibri" w:cs="Times New Roman"/>
                <w:b/>
                <w:bCs/>
                <w:color w:val="FFFFFF"/>
                <w:sz w:val="18"/>
                <w:szCs w:val="18"/>
                <w:lang w:eastAsia="es-ES"/>
              </w:rPr>
            </w:pPr>
            <w:r w:rsidRPr="00563030">
              <w:rPr>
                <w:rFonts w:ascii="Calibri" w:eastAsia="Times New Roman" w:hAnsi="Calibri" w:cs="Times New Roman"/>
                <w:b/>
                <w:bCs/>
                <w:color w:val="FFFFFF"/>
                <w:sz w:val="18"/>
                <w:szCs w:val="18"/>
                <w:lang w:eastAsia="es-ES"/>
              </w:rPr>
              <w:t>93,9%</w:t>
            </w:r>
          </w:p>
        </w:tc>
      </w:tr>
    </w:tbl>
    <w:p w:rsidR="009858E3" w:rsidRDefault="009858E3" w:rsidP="00E0320F">
      <w:pPr>
        <w:tabs>
          <w:tab w:val="left" w:pos="0"/>
          <w:tab w:val="left" w:pos="6285"/>
        </w:tabs>
        <w:jc w:val="center"/>
      </w:pPr>
    </w:p>
    <w:p w:rsidR="009858E3" w:rsidRPr="003D15B6" w:rsidRDefault="003D15B6" w:rsidP="00B0351E">
      <w:pPr>
        <w:pStyle w:val="Prrafodelista"/>
        <w:numPr>
          <w:ilvl w:val="0"/>
          <w:numId w:val="1"/>
        </w:numPr>
        <w:tabs>
          <w:tab w:val="left" w:pos="0"/>
        </w:tabs>
        <w:ind w:left="0" w:firstLine="0"/>
        <w:rPr>
          <w:rFonts w:ascii="Calibri" w:hAnsi="Calibri" w:cs="Calibri"/>
          <w:b/>
          <w:sz w:val="21"/>
          <w:szCs w:val="21"/>
        </w:rPr>
      </w:pPr>
      <w:r>
        <w:rPr>
          <w:rFonts w:ascii="Calibri" w:hAnsi="Calibri" w:cs="Calibri"/>
          <w:b/>
          <w:sz w:val="21"/>
          <w:szCs w:val="21"/>
        </w:rPr>
        <w:t>Máquinas de azar – Porcentaje de retorno a los cl</w:t>
      </w:r>
      <w:r w:rsidR="004830B6">
        <w:rPr>
          <w:rFonts w:ascii="Calibri" w:hAnsi="Calibri" w:cs="Calibri"/>
          <w:b/>
          <w:sz w:val="21"/>
          <w:szCs w:val="21"/>
        </w:rPr>
        <w:t xml:space="preserve">ientes, valores nominales: </w:t>
      </w:r>
      <w:r w:rsidR="00E80F2B">
        <w:rPr>
          <w:rFonts w:ascii="Calibri" w:hAnsi="Calibri" w:cs="Calibri"/>
          <w:b/>
          <w:sz w:val="21"/>
          <w:szCs w:val="21"/>
        </w:rPr>
        <w:t>Jul</w:t>
      </w:r>
      <w:r w:rsidR="00AD51A3">
        <w:rPr>
          <w:rFonts w:ascii="Calibri" w:hAnsi="Calibri" w:cs="Calibri"/>
          <w:b/>
          <w:sz w:val="21"/>
          <w:szCs w:val="21"/>
        </w:rPr>
        <w:t>io</w:t>
      </w:r>
      <w:r>
        <w:rPr>
          <w:rFonts w:ascii="Calibri" w:hAnsi="Calibri" w:cs="Calibri"/>
          <w:b/>
          <w:sz w:val="21"/>
          <w:szCs w:val="21"/>
        </w:rPr>
        <w:t xml:space="preserve"> 2016</w:t>
      </w:r>
    </w:p>
    <w:p w:rsidR="009858E3" w:rsidRDefault="00563030" w:rsidP="00E0320F">
      <w:pPr>
        <w:tabs>
          <w:tab w:val="left" w:pos="0"/>
          <w:tab w:val="left" w:pos="6285"/>
        </w:tabs>
        <w:rPr>
          <w:rFonts w:ascii="Calibri" w:hAnsi="Calibri" w:cs="Calibri"/>
          <w:b/>
          <w:sz w:val="21"/>
          <w:szCs w:val="21"/>
        </w:rPr>
      </w:pPr>
      <w:r>
        <w:rPr>
          <w:rFonts w:ascii="Calibri" w:hAnsi="Calibri" w:cs="Calibri"/>
          <w:b/>
          <w:noProof/>
          <w:sz w:val="21"/>
          <w:szCs w:val="21"/>
          <w:lang w:eastAsia="es-ES"/>
        </w:rPr>
        <w:drawing>
          <wp:inline distT="0" distB="0" distL="0" distR="0" wp14:anchorId="337E9B26">
            <wp:extent cx="5258595" cy="18728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7505" cy="1879610"/>
                    </a:xfrm>
                    <a:prstGeom prst="rect">
                      <a:avLst/>
                    </a:prstGeom>
                    <a:noFill/>
                  </pic:spPr>
                </pic:pic>
              </a:graphicData>
            </a:graphic>
          </wp:inline>
        </w:drawing>
      </w: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563030" w:rsidRDefault="00563030" w:rsidP="00E0320F">
      <w:pPr>
        <w:tabs>
          <w:tab w:val="left" w:pos="0"/>
          <w:tab w:val="left" w:pos="6285"/>
        </w:tabs>
        <w:rPr>
          <w:rFonts w:ascii="Calibri" w:hAnsi="Calibri" w:cs="Calibri"/>
          <w:b/>
          <w:sz w:val="21"/>
          <w:szCs w:val="21"/>
        </w:rPr>
      </w:pPr>
    </w:p>
    <w:p w:rsidR="00563030" w:rsidRDefault="00563030"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F86774" w:rsidRDefault="00F86774" w:rsidP="00E0320F">
      <w:pPr>
        <w:tabs>
          <w:tab w:val="left" w:pos="0"/>
          <w:tab w:val="left" w:pos="6285"/>
        </w:tabs>
        <w:rPr>
          <w:rFonts w:ascii="Calibri" w:hAnsi="Calibri" w:cs="Calibri"/>
          <w:b/>
          <w:sz w:val="21"/>
          <w:szCs w:val="21"/>
        </w:rPr>
      </w:pPr>
    </w:p>
    <w:p w:rsidR="009858E3" w:rsidRPr="003D15B6" w:rsidRDefault="003D15B6" w:rsidP="00B0351E">
      <w:pPr>
        <w:pStyle w:val="Prrafodelista"/>
        <w:numPr>
          <w:ilvl w:val="0"/>
          <w:numId w:val="1"/>
        </w:numPr>
        <w:tabs>
          <w:tab w:val="left" w:pos="0"/>
        </w:tabs>
        <w:ind w:left="0" w:firstLine="0"/>
        <w:jc w:val="left"/>
        <w:rPr>
          <w:b/>
        </w:rPr>
      </w:pPr>
      <w:r w:rsidRPr="003D15B6">
        <w:rPr>
          <w:b/>
        </w:rPr>
        <w:lastRenderedPageBreak/>
        <w:t xml:space="preserve">Impuestos, valores nominales: </w:t>
      </w:r>
      <w:r w:rsidR="00E80F2B">
        <w:rPr>
          <w:b/>
        </w:rPr>
        <w:t>Jul</w:t>
      </w:r>
      <w:r w:rsidR="00AD51A3">
        <w:rPr>
          <w:b/>
        </w:rPr>
        <w:t xml:space="preserve">io </w:t>
      </w:r>
      <w:r w:rsidR="004830B6">
        <w:rPr>
          <w:b/>
        </w:rPr>
        <w:t xml:space="preserve"> </w:t>
      </w:r>
      <w:r w:rsidRPr="003D15B6">
        <w:rPr>
          <w:b/>
        </w:rPr>
        <w:t>de 2016</w:t>
      </w:r>
    </w:p>
    <w:tbl>
      <w:tblPr>
        <w:tblW w:w="5000" w:type="pct"/>
        <w:tblCellMar>
          <w:left w:w="70" w:type="dxa"/>
          <w:right w:w="70" w:type="dxa"/>
        </w:tblCellMar>
        <w:tblLook w:val="04A0" w:firstRow="1" w:lastRow="0" w:firstColumn="1" w:lastColumn="0" w:noHBand="0" w:noVBand="1"/>
      </w:tblPr>
      <w:tblGrid>
        <w:gridCol w:w="1844"/>
        <w:gridCol w:w="2342"/>
        <w:gridCol w:w="883"/>
        <w:gridCol w:w="1211"/>
        <w:gridCol w:w="553"/>
        <w:gridCol w:w="1026"/>
        <w:gridCol w:w="645"/>
      </w:tblGrid>
      <w:tr w:rsidR="00E80F2B" w:rsidRPr="00E80F2B" w:rsidTr="00E80F2B">
        <w:trPr>
          <w:trHeight w:val="300"/>
        </w:trPr>
        <w:tc>
          <w:tcPr>
            <w:tcW w:w="5000" w:type="pct"/>
            <w:gridSpan w:val="7"/>
            <w:tcBorders>
              <w:top w:val="nil"/>
              <w:left w:val="nil"/>
              <w:bottom w:val="nil"/>
              <w:right w:val="nil"/>
            </w:tcBorders>
            <w:shd w:val="clear" w:color="000000" w:fill="1F497D"/>
            <w:noWrap/>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IMPUESTOS  Julio 2016 ($ Millones)</w:t>
            </w:r>
          </w:p>
        </w:tc>
      </w:tr>
      <w:tr w:rsidR="00E80F2B" w:rsidRPr="00E80F2B" w:rsidTr="00E80F2B">
        <w:trPr>
          <w:trHeight w:val="720"/>
        </w:trPr>
        <w:tc>
          <w:tcPr>
            <w:tcW w:w="2660"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Región</w:t>
            </w:r>
          </w:p>
        </w:tc>
        <w:tc>
          <w:tcPr>
            <w:tcW w:w="561" w:type="pct"/>
            <w:tcBorders>
              <w:top w:val="single" w:sz="4" w:space="0" w:color="A6A6A6"/>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Casino</w:t>
            </w:r>
          </w:p>
        </w:tc>
        <w:tc>
          <w:tcPr>
            <w:tcW w:w="363" w:type="pct"/>
            <w:tcBorders>
              <w:top w:val="single" w:sz="4" w:space="0" w:color="A6A6A6"/>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Impuesto específico Gobierno Regional</w:t>
            </w:r>
          </w:p>
        </w:tc>
        <w:tc>
          <w:tcPr>
            <w:tcW w:w="349" w:type="pct"/>
            <w:tcBorders>
              <w:top w:val="single" w:sz="4" w:space="0" w:color="A6A6A6"/>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Impuesto específico Municipalidad</w:t>
            </w:r>
          </w:p>
        </w:tc>
        <w:tc>
          <w:tcPr>
            <w:tcW w:w="344" w:type="pct"/>
            <w:tcBorders>
              <w:top w:val="single" w:sz="4" w:space="0" w:color="A6A6A6"/>
              <w:left w:val="nil"/>
              <w:bottom w:val="single" w:sz="4" w:space="0" w:color="A6A6A6"/>
              <w:right w:val="single" w:sz="4" w:space="0" w:color="A6A6A6"/>
            </w:tcBorders>
            <w:shd w:val="clear" w:color="000000" w:fill="1F497D"/>
            <w:noWrap/>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IVA</w:t>
            </w:r>
          </w:p>
        </w:tc>
        <w:tc>
          <w:tcPr>
            <w:tcW w:w="349" w:type="pct"/>
            <w:tcBorders>
              <w:top w:val="single" w:sz="4" w:space="0" w:color="A6A6A6"/>
              <w:left w:val="nil"/>
              <w:bottom w:val="single" w:sz="4" w:space="0" w:color="A6A6A6"/>
              <w:right w:val="nil"/>
            </w:tcBorders>
            <w:shd w:val="clear" w:color="000000" w:fill="1F497D"/>
            <w:noWrap/>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Por entrada</w:t>
            </w:r>
          </w:p>
        </w:tc>
        <w:tc>
          <w:tcPr>
            <w:tcW w:w="373"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Total</w:t>
            </w:r>
          </w:p>
        </w:tc>
      </w:tr>
      <w:tr w:rsidR="00E80F2B" w:rsidRPr="00E80F2B" w:rsidTr="00E80F2B">
        <w:trPr>
          <w:trHeight w:val="300"/>
        </w:trPr>
        <w:tc>
          <w:tcPr>
            <w:tcW w:w="2660"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 xml:space="preserve">De Antofagasta </w:t>
            </w: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Marina de Sol Calama</w:t>
            </w:r>
          </w:p>
        </w:tc>
        <w:tc>
          <w:tcPr>
            <w:tcW w:w="36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281</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86</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172</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56</w:t>
            </w:r>
          </w:p>
        </w:tc>
        <w:tc>
          <w:tcPr>
            <w:tcW w:w="3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1.327</w:t>
            </w:r>
          </w:p>
        </w:tc>
      </w:tr>
      <w:tr w:rsidR="00E80F2B" w:rsidRPr="00E80F2B" w:rsidTr="00E80F2B">
        <w:trPr>
          <w:trHeight w:val="300"/>
        </w:trPr>
        <w:tc>
          <w:tcPr>
            <w:tcW w:w="2660"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Enjoy Antofagasta</w:t>
            </w:r>
          </w:p>
        </w:tc>
        <w:tc>
          <w:tcPr>
            <w:tcW w:w="36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195</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393</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145</w:t>
            </w:r>
          </w:p>
        </w:tc>
        <w:tc>
          <w:tcPr>
            <w:tcW w:w="37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r>
      <w:tr w:rsidR="00E80F2B" w:rsidRPr="00E80F2B" w:rsidTr="00E80F2B">
        <w:trPr>
          <w:trHeight w:val="300"/>
        </w:trPr>
        <w:tc>
          <w:tcPr>
            <w:tcW w:w="2660" w:type="pc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Atacama</w:t>
            </w: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Antay Casino &amp; Hotel</w:t>
            </w:r>
          </w:p>
        </w:tc>
        <w:tc>
          <w:tcPr>
            <w:tcW w:w="363"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75</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75</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153</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75</w:t>
            </w:r>
          </w:p>
        </w:tc>
        <w:tc>
          <w:tcPr>
            <w:tcW w:w="373"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378</w:t>
            </w:r>
          </w:p>
        </w:tc>
      </w:tr>
      <w:tr w:rsidR="00E80F2B" w:rsidRPr="00E80F2B" w:rsidTr="00E80F2B">
        <w:trPr>
          <w:trHeight w:val="300"/>
        </w:trPr>
        <w:tc>
          <w:tcPr>
            <w:tcW w:w="2660"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Valparaíso</w:t>
            </w: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Casino de Juegos del Pacífico</w:t>
            </w:r>
          </w:p>
        </w:tc>
        <w:tc>
          <w:tcPr>
            <w:tcW w:w="36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354</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62</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117</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66</w:t>
            </w:r>
          </w:p>
        </w:tc>
        <w:tc>
          <w:tcPr>
            <w:tcW w:w="3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1.570</w:t>
            </w:r>
          </w:p>
        </w:tc>
      </w:tr>
      <w:tr w:rsidR="00E80F2B" w:rsidRPr="00E80F2B" w:rsidTr="00E80F2B">
        <w:trPr>
          <w:trHeight w:val="300"/>
        </w:trPr>
        <w:tc>
          <w:tcPr>
            <w:tcW w:w="2660"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Casino de Juego de Rinconada</w:t>
            </w:r>
          </w:p>
        </w:tc>
        <w:tc>
          <w:tcPr>
            <w:tcW w:w="36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293</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556</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121</w:t>
            </w:r>
          </w:p>
        </w:tc>
        <w:tc>
          <w:tcPr>
            <w:tcW w:w="37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r>
      <w:tr w:rsidR="00E80F2B" w:rsidRPr="00E80F2B" w:rsidTr="00E80F2B">
        <w:trPr>
          <w:trHeight w:val="300"/>
        </w:trPr>
        <w:tc>
          <w:tcPr>
            <w:tcW w:w="2660"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O´Higgins</w:t>
            </w: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Sun Monticello</w:t>
            </w:r>
          </w:p>
        </w:tc>
        <w:tc>
          <w:tcPr>
            <w:tcW w:w="36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631</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586</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1.140</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253</w:t>
            </w:r>
          </w:p>
        </w:tc>
        <w:tc>
          <w:tcPr>
            <w:tcW w:w="37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2.775</w:t>
            </w:r>
          </w:p>
        </w:tc>
      </w:tr>
      <w:tr w:rsidR="00E80F2B" w:rsidRPr="00E80F2B" w:rsidTr="00E80F2B">
        <w:trPr>
          <w:trHeight w:val="300"/>
        </w:trPr>
        <w:tc>
          <w:tcPr>
            <w:tcW w:w="2660"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Casino de Colchagua</w:t>
            </w:r>
          </w:p>
        </w:tc>
        <w:tc>
          <w:tcPr>
            <w:tcW w:w="36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45</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90</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30</w:t>
            </w:r>
          </w:p>
        </w:tc>
        <w:tc>
          <w:tcPr>
            <w:tcW w:w="37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r>
      <w:tr w:rsidR="00E80F2B" w:rsidRPr="00E80F2B" w:rsidTr="00E80F2B">
        <w:trPr>
          <w:trHeight w:val="300"/>
        </w:trPr>
        <w:tc>
          <w:tcPr>
            <w:tcW w:w="2660" w:type="pc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Del Maule</w:t>
            </w: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Gran Casino de Talca</w:t>
            </w:r>
          </w:p>
        </w:tc>
        <w:tc>
          <w:tcPr>
            <w:tcW w:w="363"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90</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90</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179</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76</w:t>
            </w:r>
          </w:p>
        </w:tc>
        <w:tc>
          <w:tcPr>
            <w:tcW w:w="373"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436</w:t>
            </w:r>
          </w:p>
        </w:tc>
      </w:tr>
      <w:tr w:rsidR="00E80F2B" w:rsidRPr="00E80F2B" w:rsidTr="00E80F2B">
        <w:trPr>
          <w:trHeight w:val="300"/>
        </w:trPr>
        <w:tc>
          <w:tcPr>
            <w:tcW w:w="2660"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 xml:space="preserve">Del </w:t>
            </w:r>
            <w:proofErr w:type="spellStart"/>
            <w:r w:rsidRPr="00E80F2B">
              <w:rPr>
                <w:rFonts w:ascii="Calibri" w:eastAsia="Times New Roman" w:hAnsi="Calibri" w:cs="Times New Roman"/>
                <w:color w:val="244062"/>
                <w:sz w:val="18"/>
                <w:szCs w:val="18"/>
                <w:lang w:eastAsia="es-ES"/>
              </w:rPr>
              <w:t>Bío</w:t>
            </w:r>
            <w:proofErr w:type="spellEnd"/>
            <w:r w:rsidRPr="00E80F2B">
              <w:rPr>
                <w:rFonts w:ascii="Calibri" w:eastAsia="Times New Roman" w:hAnsi="Calibri" w:cs="Times New Roman"/>
                <w:color w:val="244062"/>
                <w:sz w:val="18"/>
                <w:szCs w:val="18"/>
                <w:lang w:eastAsia="es-ES"/>
              </w:rPr>
              <w:t xml:space="preserve"> </w:t>
            </w:r>
            <w:proofErr w:type="spellStart"/>
            <w:r w:rsidRPr="00E80F2B">
              <w:rPr>
                <w:rFonts w:ascii="Calibri" w:eastAsia="Times New Roman" w:hAnsi="Calibri" w:cs="Times New Roman"/>
                <w:color w:val="244062"/>
                <w:sz w:val="18"/>
                <w:szCs w:val="18"/>
                <w:lang w:eastAsia="es-ES"/>
              </w:rPr>
              <w:t>Bío</w:t>
            </w:r>
            <w:proofErr w:type="spellEnd"/>
            <w:r w:rsidRPr="00E80F2B">
              <w:rPr>
                <w:rFonts w:ascii="Calibri" w:eastAsia="Times New Roman" w:hAnsi="Calibri" w:cs="Times New Roman"/>
                <w:color w:val="244062"/>
                <w:sz w:val="18"/>
                <w:szCs w:val="18"/>
                <w:lang w:eastAsia="es-ES"/>
              </w:rPr>
              <w:t xml:space="preserve"> </w:t>
            </w: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Marina de Sol Talcahuano</w:t>
            </w:r>
          </w:p>
        </w:tc>
        <w:tc>
          <w:tcPr>
            <w:tcW w:w="36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318</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284</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563</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245</w:t>
            </w:r>
          </w:p>
        </w:tc>
        <w:tc>
          <w:tcPr>
            <w:tcW w:w="37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1.551</w:t>
            </w:r>
          </w:p>
        </w:tc>
      </w:tr>
      <w:tr w:rsidR="00E80F2B" w:rsidRPr="00E80F2B" w:rsidTr="00E80F2B">
        <w:trPr>
          <w:trHeight w:val="300"/>
        </w:trPr>
        <w:tc>
          <w:tcPr>
            <w:tcW w:w="2660"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Casino Gran Los Ángeles</w:t>
            </w:r>
          </w:p>
        </w:tc>
        <w:tc>
          <w:tcPr>
            <w:tcW w:w="36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34</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64</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44</w:t>
            </w:r>
          </w:p>
        </w:tc>
        <w:tc>
          <w:tcPr>
            <w:tcW w:w="37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r>
      <w:tr w:rsidR="00E80F2B" w:rsidRPr="00E80F2B" w:rsidTr="00E80F2B">
        <w:trPr>
          <w:trHeight w:val="300"/>
        </w:trPr>
        <w:tc>
          <w:tcPr>
            <w:tcW w:w="2660" w:type="pc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 xml:space="preserve">De La Araucanía </w:t>
            </w: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Dreams Temuco</w:t>
            </w:r>
          </w:p>
        </w:tc>
        <w:tc>
          <w:tcPr>
            <w:tcW w:w="363"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156</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156</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307</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138</w:t>
            </w:r>
          </w:p>
        </w:tc>
        <w:tc>
          <w:tcPr>
            <w:tcW w:w="373"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758</w:t>
            </w:r>
          </w:p>
        </w:tc>
      </w:tr>
      <w:tr w:rsidR="00E80F2B" w:rsidRPr="00E80F2B" w:rsidTr="00E80F2B">
        <w:trPr>
          <w:trHeight w:val="300"/>
        </w:trPr>
        <w:tc>
          <w:tcPr>
            <w:tcW w:w="2660" w:type="pc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Los Ríos</w:t>
            </w: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Dreams Valdivia</w:t>
            </w:r>
          </w:p>
        </w:tc>
        <w:tc>
          <w:tcPr>
            <w:tcW w:w="363"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85</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85</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161</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85</w:t>
            </w:r>
          </w:p>
        </w:tc>
        <w:tc>
          <w:tcPr>
            <w:tcW w:w="373"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415</w:t>
            </w:r>
          </w:p>
        </w:tc>
      </w:tr>
      <w:tr w:rsidR="00E80F2B" w:rsidRPr="00E80F2B" w:rsidTr="00E80F2B">
        <w:trPr>
          <w:trHeight w:val="300"/>
        </w:trPr>
        <w:tc>
          <w:tcPr>
            <w:tcW w:w="2660"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Los Lagos</w:t>
            </w: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Marina del Sol Osorno</w:t>
            </w:r>
          </w:p>
        </w:tc>
        <w:tc>
          <w:tcPr>
            <w:tcW w:w="36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98</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68</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132</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66</w:t>
            </w:r>
          </w:p>
        </w:tc>
        <w:tc>
          <w:tcPr>
            <w:tcW w:w="37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477</w:t>
            </w:r>
          </w:p>
        </w:tc>
      </w:tr>
      <w:tr w:rsidR="00E80F2B" w:rsidRPr="00E80F2B" w:rsidTr="00E80F2B">
        <w:trPr>
          <w:trHeight w:val="300"/>
        </w:trPr>
        <w:tc>
          <w:tcPr>
            <w:tcW w:w="2660"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p>
        </w:tc>
        <w:tc>
          <w:tcPr>
            <w:tcW w:w="561"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Enjoy Chiloé</w:t>
            </w:r>
          </w:p>
        </w:tc>
        <w:tc>
          <w:tcPr>
            <w:tcW w:w="36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30</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56</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27</w:t>
            </w:r>
          </w:p>
        </w:tc>
        <w:tc>
          <w:tcPr>
            <w:tcW w:w="373" w:type="pct"/>
            <w:vMerge/>
            <w:tcBorders>
              <w:top w:val="nil"/>
              <w:left w:val="single" w:sz="4" w:space="0" w:color="A6A6A6"/>
              <w:bottom w:val="single" w:sz="4" w:space="0" w:color="A6A6A6"/>
              <w:right w:val="single" w:sz="4" w:space="0" w:color="A6A6A6"/>
            </w:tcBorders>
            <w:vAlign w:val="center"/>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p>
        </w:tc>
      </w:tr>
      <w:tr w:rsidR="00E80F2B" w:rsidRPr="00E80F2B" w:rsidTr="00E80F2B">
        <w:trPr>
          <w:trHeight w:val="300"/>
        </w:trPr>
        <w:tc>
          <w:tcPr>
            <w:tcW w:w="2660" w:type="pct"/>
            <w:tcBorders>
              <w:top w:val="nil"/>
              <w:left w:val="single" w:sz="4" w:space="0" w:color="A6A6A6"/>
              <w:bottom w:val="single" w:sz="4" w:space="0" w:color="A6A6A6"/>
              <w:right w:val="single" w:sz="4" w:space="0" w:color="A6A6A6"/>
            </w:tcBorders>
            <w:shd w:val="clear" w:color="000000" w:fill="DAEEF3"/>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Aysén</w:t>
            </w:r>
          </w:p>
        </w:tc>
        <w:tc>
          <w:tcPr>
            <w:tcW w:w="561"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Dreams Coyhaique</w:t>
            </w:r>
          </w:p>
        </w:tc>
        <w:tc>
          <w:tcPr>
            <w:tcW w:w="363"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36</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36</w:t>
            </w:r>
          </w:p>
        </w:tc>
        <w:tc>
          <w:tcPr>
            <w:tcW w:w="344"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68</w:t>
            </w:r>
          </w:p>
        </w:tc>
        <w:tc>
          <w:tcPr>
            <w:tcW w:w="349"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36</w:t>
            </w:r>
          </w:p>
        </w:tc>
        <w:tc>
          <w:tcPr>
            <w:tcW w:w="373" w:type="pct"/>
            <w:tcBorders>
              <w:top w:val="nil"/>
              <w:left w:val="nil"/>
              <w:bottom w:val="single" w:sz="4" w:space="0" w:color="A6A6A6"/>
              <w:right w:val="single" w:sz="4" w:space="0" w:color="A6A6A6"/>
            </w:tcBorders>
            <w:shd w:val="clear" w:color="000000" w:fill="DAEEF3"/>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175</w:t>
            </w:r>
          </w:p>
        </w:tc>
      </w:tr>
      <w:tr w:rsidR="00E80F2B" w:rsidRPr="00E80F2B" w:rsidTr="00E80F2B">
        <w:trPr>
          <w:trHeight w:val="300"/>
        </w:trPr>
        <w:tc>
          <w:tcPr>
            <w:tcW w:w="2660" w:type="pct"/>
            <w:tcBorders>
              <w:top w:val="nil"/>
              <w:left w:val="single" w:sz="4" w:space="0" w:color="A6A6A6"/>
              <w:bottom w:val="single" w:sz="4" w:space="0" w:color="A6A6A6"/>
              <w:right w:val="single" w:sz="4" w:space="0" w:color="A6A6A6"/>
            </w:tcBorders>
            <w:shd w:val="clear" w:color="000000" w:fill="FFFFFF"/>
            <w:noWrap/>
            <w:vAlign w:val="center"/>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De Magallanes</w:t>
            </w:r>
          </w:p>
        </w:tc>
        <w:tc>
          <w:tcPr>
            <w:tcW w:w="561" w:type="pct"/>
            <w:tcBorders>
              <w:top w:val="nil"/>
              <w:left w:val="nil"/>
              <w:bottom w:val="single" w:sz="4" w:space="0" w:color="A6A6A6"/>
              <w:right w:val="single" w:sz="4" w:space="0" w:color="A6A6A6"/>
            </w:tcBorders>
            <w:shd w:val="clear" w:color="000000" w:fill="FFFFFF"/>
            <w:noWrap/>
            <w:vAlign w:val="bottom"/>
            <w:hideMark/>
          </w:tcPr>
          <w:p w:rsidR="00E80F2B" w:rsidRPr="00E80F2B" w:rsidRDefault="00E80F2B" w:rsidP="00E80F2B">
            <w:pPr>
              <w:spacing w:after="0" w:line="240" w:lineRule="auto"/>
              <w:jc w:val="left"/>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Dreams Punta Arenas</w:t>
            </w:r>
          </w:p>
        </w:tc>
        <w:tc>
          <w:tcPr>
            <w:tcW w:w="363"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126</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126</w:t>
            </w:r>
          </w:p>
        </w:tc>
        <w:tc>
          <w:tcPr>
            <w:tcW w:w="344"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250</w:t>
            </w:r>
          </w:p>
        </w:tc>
        <w:tc>
          <w:tcPr>
            <w:tcW w:w="349"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118</w:t>
            </w:r>
          </w:p>
        </w:tc>
        <w:tc>
          <w:tcPr>
            <w:tcW w:w="373" w:type="pct"/>
            <w:tcBorders>
              <w:top w:val="nil"/>
              <w:left w:val="nil"/>
              <w:bottom w:val="single" w:sz="4" w:space="0" w:color="A6A6A6"/>
              <w:right w:val="single" w:sz="4" w:space="0" w:color="A6A6A6"/>
            </w:tcBorders>
            <w:shd w:val="clear" w:color="auto" w:fill="auto"/>
            <w:noWrap/>
            <w:vAlign w:val="bottom"/>
            <w:hideMark/>
          </w:tcPr>
          <w:p w:rsidR="00E80F2B" w:rsidRPr="00E80F2B" w:rsidRDefault="00E80F2B" w:rsidP="00E80F2B">
            <w:pPr>
              <w:spacing w:after="0" w:line="240" w:lineRule="auto"/>
              <w:jc w:val="center"/>
              <w:rPr>
                <w:rFonts w:ascii="Calibri" w:eastAsia="Times New Roman" w:hAnsi="Calibri" w:cs="Times New Roman"/>
                <w:color w:val="244062"/>
                <w:sz w:val="18"/>
                <w:szCs w:val="18"/>
                <w:lang w:eastAsia="es-ES"/>
              </w:rPr>
            </w:pPr>
            <w:r w:rsidRPr="00E80F2B">
              <w:rPr>
                <w:rFonts w:ascii="Calibri" w:eastAsia="Times New Roman" w:hAnsi="Calibri" w:cs="Times New Roman"/>
                <w:color w:val="244062"/>
                <w:sz w:val="18"/>
                <w:szCs w:val="18"/>
                <w:lang w:eastAsia="es-ES"/>
              </w:rPr>
              <w:t>619</w:t>
            </w:r>
          </w:p>
        </w:tc>
      </w:tr>
      <w:tr w:rsidR="00E80F2B" w:rsidRPr="00E80F2B" w:rsidTr="00E80F2B">
        <w:trPr>
          <w:trHeight w:val="300"/>
        </w:trPr>
        <w:tc>
          <w:tcPr>
            <w:tcW w:w="3222"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 xml:space="preserve">Total </w:t>
            </w:r>
          </w:p>
        </w:tc>
        <w:tc>
          <w:tcPr>
            <w:tcW w:w="363" w:type="pct"/>
            <w:tcBorders>
              <w:top w:val="nil"/>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2.250</w:t>
            </w:r>
          </w:p>
        </w:tc>
        <w:tc>
          <w:tcPr>
            <w:tcW w:w="349" w:type="pct"/>
            <w:tcBorders>
              <w:top w:val="nil"/>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2.250</w:t>
            </w:r>
          </w:p>
        </w:tc>
        <w:tc>
          <w:tcPr>
            <w:tcW w:w="344" w:type="pct"/>
            <w:tcBorders>
              <w:top w:val="nil"/>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4.401</w:t>
            </w:r>
          </w:p>
        </w:tc>
        <w:tc>
          <w:tcPr>
            <w:tcW w:w="349" w:type="pct"/>
            <w:tcBorders>
              <w:top w:val="nil"/>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1.581</w:t>
            </w:r>
          </w:p>
        </w:tc>
        <w:tc>
          <w:tcPr>
            <w:tcW w:w="373" w:type="pct"/>
            <w:tcBorders>
              <w:top w:val="nil"/>
              <w:left w:val="nil"/>
              <w:bottom w:val="single" w:sz="4" w:space="0" w:color="A6A6A6"/>
              <w:right w:val="single" w:sz="4" w:space="0" w:color="A6A6A6"/>
            </w:tcBorders>
            <w:shd w:val="clear" w:color="000000" w:fill="1F497D"/>
            <w:vAlign w:val="center"/>
            <w:hideMark/>
          </w:tcPr>
          <w:p w:rsidR="00E80F2B" w:rsidRPr="00E80F2B" w:rsidRDefault="00E80F2B" w:rsidP="00E80F2B">
            <w:pPr>
              <w:spacing w:after="0" w:line="240" w:lineRule="auto"/>
              <w:jc w:val="center"/>
              <w:rPr>
                <w:rFonts w:ascii="Calibri" w:eastAsia="Times New Roman" w:hAnsi="Calibri" w:cs="Times New Roman"/>
                <w:b/>
                <w:bCs/>
                <w:color w:val="FFFFFF"/>
                <w:sz w:val="18"/>
                <w:szCs w:val="18"/>
                <w:lang w:eastAsia="es-ES"/>
              </w:rPr>
            </w:pPr>
            <w:r w:rsidRPr="00E80F2B">
              <w:rPr>
                <w:rFonts w:ascii="Calibri" w:eastAsia="Times New Roman" w:hAnsi="Calibri" w:cs="Times New Roman"/>
                <w:b/>
                <w:bCs/>
                <w:color w:val="FFFFFF"/>
                <w:sz w:val="18"/>
                <w:szCs w:val="18"/>
                <w:lang w:eastAsia="es-ES"/>
              </w:rPr>
              <w:t>10.482</w:t>
            </w:r>
          </w:p>
        </w:tc>
      </w:tr>
    </w:tbl>
    <w:p w:rsidR="009858E3" w:rsidRPr="00AD51A3" w:rsidRDefault="009858E3" w:rsidP="00E0320F">
      <w:pPr>
        <w:tabs>
          <w:tab w:val="left" w:pos="0"/>
        </w:tabs>
        <w:jc w:val="center"/>
      </w:pPr>
    </w:p>
    <w:p w:rsidR="009858E3" w:rsidRDefault="009858E3" w:rsidP="00E0320F">
      <w:pPr>
        <w:tabs>
          <w:tab w:val="left" w:pos="0"/>
          <w:tab w:val="left" w:pos="6285"/>
        </w:tabs>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11</w:t>
      </w:r>
      <w:r w:rsidRPr="00FF46E3">
        <w:rPr>
          <w:rFonts w:ascii="Calibri" w:hAnsi="Calibri" w:cs="Calibri"/>
          <w:b/>
          <w:sz w:val="18"/>
          <w:szCs w:val="18"/>
        </w:rPr>
        <w:t xml:space="preserve"> gobiernos regionales y las 1</w:t>
      </w:r>
      <w:r>
        <w:rPr>
          <w:rFonts w:ascii="Calibri" w:hAnsi="Calibri" w:cs="Calibri"/>
          <w:b/>
          <w:sz w:val="18"/>
          <w:szCs w:val="18"/>
        </w:rPr>
        <w:t>6</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rsidR="004830B6" w:rsidRDefault="004830B6" w:rsidP="00E0320F">
      <w:pPr>
        <w:tabs>
          <w:tab w:val="left" w:pos="0"/>
        </w:tabs>
        <w:spacing w:after="0" w:line="240" w:lineRule="auto"/>
        <w:rPr>
          <w:rFonts w:ascii="Calibri" w:hAnsi="Calibri" w:cs="Arial"/>
          <w:b/>
          <w:sz w:val="20"/>
          <w:szCs w:val="20"/>
        </w:rPr>
      </w:pPr>
    </w:p>
    <w:p w:rsidR="009858E3" w:rsidRPr="008349C4" w:rsidRDefault="009858E3"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 xml:space="preserve">ATENCIÓN CIUDADANA Y </w:t>
      </w:r>
      <w:r w:rsidRPr="008349C4">
        <w:rPr>
          <w:rFonts w:ascii="Calibri" w:hAnsi="Calibri" w:cs="Arial"/>
          <w:b/>
          <w:sz w:val="20"/>
          <w:szCs w:val="20"/>
        </w:rPr>
        <w:t>COMUNICACIONES</w:t>
      </w:r>
    </w:p>
    <w:p w:rsidR="009858E3" w:rsidRPr="008349C4" w:rsidRDefault="009858E3" w:rsidP="00E0320F">
      <w:pPr>
        <w:tabs>
          <w:tab w:val="left" w:pos="0"/>
        </w:tabs>
        <w:spacing w:after="0" w:line="240" w:lineRule="auto"/>
        <w:rPr>
          <w:rFonts w:ascii="Calibri" w:hAnsi="Calibri" w:cs="Arial"/>
          <w:b/>
          <w:sz w:val="20"/>
          <w:szCs w:val="20"/>
        </w:rPr>
      </w:pPr>
      <w:r w:rsidRPr="008349C4">
        <w:rPr>
          <w:rFonts w:ascii="Calibri" w:hAnsi="Calibri" w:cs="Arial"/>
          <w:b/>
          <w:sz w:val="20"/>
          <w:szCs w:val="20"/>
        </w:rPr>
        <w:t>SUPERINTENDENCIA DE CASINOS DE JUEGO (SCJ)</w:t>
      </w:r>
    </w:p>
    <w:p w:rsidR="009858E3" w:rsidRPr="001447CC" w:rsidRDefault="009858E3" w:rsidP="00E0320F">
      <w:pPr>
        <w:tabs>
          <w:tab w:val="left" w:pos="0"/>
        </w:tabs>
        <w:spacing w:after="0" w:line="240" w:lineRule="auto"/>
        <w:rPr>
          <w:rFonts w:ascii="Calibri" w:hAnsi="Calibri" w:cs="Arial"/>
          <w:b/>
          <w:sz w:val="18"/>
          <w:szCs w:val="20"/>
        </w:rPr>
      </w:pPr>
      <w:r w:rsidRPr="001447CC">
        <w:rPr>
          <w:rFonts w:ascii="Calibri" w:hAnsi="Calibri" w:cs="Arial"/>
          <w:b/>
          <w:sz w:val="18"/>
          <w:szCs w:val="20"/>
        </w:rPr>
        <w:t>TELÉFONO: 2589 3000</w:t>
      </w:r>
    </w:p>
    <w:p w:rsidR="009858E3" w:rsidRPr="001447CC" w:rsidRDefault="009858E3" w:rsidP="00E0320F">
      <w:pPr>
        <w:tabs>
          <w:tab w:val="left" w:pos="0"/>
        </w:tabs>
        <w:spacing w:after="0" w:line="240" w:lineRule="auto"/>
        <w:rPr>
          <w:rFonts w:ascii="Calibri" w:hAnsi="Calibri" w:cs="Arial"/>
          <w:b/>
          <w:sz w:val="18"/>
          <w:szCs w:val="20"/>
        </w:rPr>
      </w:pPr>
      <w:r w:rsidRPr="001447CC">
        <w:rPr>
          <w:rFonts w:ascii="Calibri" w:hAnsi="Calibri" w:cs="Arial"/>
          <w:b/>
          <w:sz w:val="18"/>
          <w:szCs w:val="20"/>
        </w:rPr>
        <w:t>CONTACTO: Claudia Valladares</w:t>
      </w:r>
    </w:p>
    <w:p w:rsidR="009858E3" w:rsidRDefault="009858E3" w:rsidP="00E0320F">
      <w:pPr>
        <w:tabs>
          <w:tab w:val="left" w:pos="0"/>
        </w:tabs>
        <w:spacing w:after="0" w:line="240" w:lineRule="auto"/>
      </w:pPr>
      <w:r w:rsidRPr="001447CC">
        <w:rPr>
          <w:rFonts w:ascii="Calibri" w:hAnsi="Calibri" w:cs="Arial"/>
          <w:b/>
          <w:sz w:val="18"/>
          <w:szCs w:val="20"/>
        </w:rPr>
        <w:t>E-MAIL: cvalladares@scj.gob.cl</w:t>
      </w:r>
    </w:p>
    <w:sectPr w:rsidR="009858E3" w:rsidSect="00E0320F">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9C" w:rsidRDefault="00C5279C" w:rsidP="00FD382C">
      <w:r>
        <w:separator/>
      </w:r>
    </w:p>
  </w:endnote>
  <w:endnote w:type="continuationSeparator" w:id="0">
    <w:p w:rsidR="00C5279C" w:rsidRDefault="00C5279C"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9C" w:rsidRDefault="00C5279C" w:rsidP="00FD382C">
      <w:r>
        <w:separator/>
      </w:r>
    </w:p>
  </w:footnote>
  <w:footnote w:type="continuationSeparator" w:id="0">
    <w:p w:rsidR="00C5279C" w:rsidRDefault="00C5279C" w:rsidP="00FD382C">
      <w:r>
        <w:continuationSeparator/>
      </w:r>
    </w:p>
  </w:footnote>
  <w:footnote w:id="1">
    <w:p w:rsidR="00BA7A93" w:rsidRPr="00FD382C" w:rsidRDefault="00BA7A93" w:rsidP="00BA7A93">
      <w:pPr>
        <w:pStyle w:val="Textonotapie"/>
      </w:pPr>
      <w:r>
        <w:rPr>
          <w:rStyle w:val="Refdenotaalpie"/>
        </w:rPr>
        <w:footnoteRef/>
      </w:r>
      <w:r>
        <w:t xml:space="preserve"> La variación mensual resulta de la comparación de los ingresos brutos –en UF del último día del mes- del mes de </w:t>
      </w:r>
      <w:r w:rsidR="00E80F2B">
        <w:t>jul</w:t>
      </w:r>
      <w:r w:rsidR="00774921">
        <w:t>io</w:t>
      </w:r>
      <w:r>
        <w:t xml:space="preserve"> en los años 2015-1016.</w:t>
      </w:r>
    </w:p>
  </w:footnote>
  <w:footnote w:id="2">
    <w:p w:rsidR="00BA7A93" w:rsidRPr="00D42C6C" w:rsidRDefault="00BA7A93" w:rsidP="00BA7A93">
      <w:pPr>
        <w:pStyle w:val="Textonotapie"/>
      </w:pPr>
      <w:r w:rsidRPr="00D42C6C">
        <w:rPr>
          <w:rStyle w:val="Refdenotaalpie"/>
        </w:rPr>
        <w:footnoteRef/>
      </w:r>
      <w:r w:rsidRPr="00D42C6C">
        <w:t xml:space="preserve"> </w:t>
      </w:r>
      <w:r>
        <w:t xml:space="preserve">Desde el mes pasado los </w:t>
      </w:r>
      <w:r w:rsidRPr="00D42C6C">
        <w:t>comunicado</w:t>
      </w:r>
      <w:r>
        <w:t>s de resultados operacionales</w:t>
      </w:r>
      <w:r w:rsidRPr="00D42C6C">
        <w:t xml:space="preserve"> presenta</w:t>
      </w:r>
      <w:r>
        <w:t>n</w:t>
      </w:r>
      <w:r w:rsidRPr="00D42C6C">
        <w:t xml:space="preserve"> un cambio de metodología respecto de los anteriores em</w:t>
      </w:r>
      <w:r>
        <w:t xml:space="preserve">itidos por la Superintendencia, </w:t>
      </w:r>
      <w:r w:rsidRPr="00D42C6C">
        <w:t>inform</w:t>
      </w:r>
      <w:r>
        <w:t xml:space="preserve">ándose </w:t>
      </w:r>
      <w:r w:rsidRPr="00D42C6C">
        <w:t xml:space="preserve"> las variaciones reales, es decir corregidas al valor de la UF del último día del mes. En todo caso, se adjunta una tabla en el documento que mantiene la serie histórica para ambas mediciones.</w:t>
      </w:r>
    </w:p>
  </w:footnote>
  <w:footnote w:id="3">
    <w:p w:rsidR="00BA7A93" w:rsidRPr="00FD382C" w:rsidRDefault="00BA7A93" w:rsidP="00BA7A93">
      <w:pPr>
        <w:pStyle w:val="Textonotapie"/>
      </w:pPr>
      <w:r>
        <w:rPr>
          <w:rStyle w:val="Refdenotaalpie"/>
        </w:rPr>
        <w:footnoteRef/>
      </w:r>
      <w:r>
        <w:t xml:space="preserve"> Corresponde al crecimiento de los ingresos brutos acumulados, considerando los últimos 12 meses. Es decir, se considera los ingresos acumulados desde </w:t>
      </w:r>
      <w:r w:rsidR="00EE51F5">
        <w:t>agosto</w:t>
      </w:r>
      <w:r>
        <w:t xml:space="preserve"> de 2015 a </w:t>
      </w:r>
      <w:r w:rsidR="00774921">
        <w:t>ju</w:t>
      </w:r>
      <w:r w:rsidR="00EE51F5">
        <w:t>l</w:t>
      </w:r>
      <w:r w:rsidR="00774921">
        <w:t>io</w:t>
      </w:r>
      <w:r>
        <w:t xml:space="preserve"> de 2016, y se comparan con los ingresos acumulados de </w:t>
      </w:r>
      <w:r w:rsidR="00774921">
        <w:t>julio</w:t>
      </w:r>
      <w:r>
        <w:t xml:space="preserve"> de 2014 a </w:t>
      </w:r>
      <w:r w:rsidR="00774921">
        <w:t>junio</w:t>
      </w:r>
      <w:r>
        <w:t xml:space="preserve"> de 2015, corregido por la UF del último día del mes.</w:t>
      </w:r>
    </w:p>
  </w:footnote>
  <w:footnote w:id="4">
    <w:p w:rsidR="0004531A" w:rsidRPr="0004531A" w:rsidRDefault="0004531A">
      <w:pPr>
        <w:pStyle w:val="Textonotapie"/>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5">
    <w:p w:rsidR="0004531A" w:rsidRPr="0004531A" w:rsidRDefault="0004531A">
      <w:pPr>
        <w:pStyle w:val="Textonotapie"/>
      </w:pPr>
      <w:r>
        <w:rPr>
          <w:rStyle w:val="Refdenotaalpie"/>
        </w:rPr>
        <w:footnoteRef/>
      </w:r>
      <w:r>
        <w:t xml:space="preserve"> Concepto de </w:t>
      </w:r>
      <w:r w:rsidRPr="009858E3">
        <w:rPr>
          <w:i/>
        </w:rPr>
        <w:t>monto jugado</w:t>
      </w:r>
      <w:r>
        <w:t xml:space="preserve"> es distinto –y significativamente mayor- del gasto promedio, ya que incluye todas las “re</w:t>
      </w:r>
      <w:r w:rsidR="009858E3">
        <w:t>-</w:t>
      </w:r>
      <w:r>
        <w:t>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EA" w:rsidRDefault="00A729EA" w:rsidP="00FD382C">
    <w:pPr>
      <w:pStyle w:val="Encabezado"/>
    </w:pPr>
    <w:r w:rsidRPr="008E4618">
      <w:rPr>
        <w:noProof/>
        <w:lang w:eastAsia="es-ES"/>
      </w:rPr>
      <w:drawing>
        <wp:anchor distT="0" distB="0" distL="114300" distR="114300" simplePos="0" relativeHeight="251658240" behindDoc="1" locked="0" layoutInCell="1" allowOverlap="1" wp14:anchorId="7EC69BEF" wp14:editId="245918C3">
          <wp:simplePos x="0" y="0"/>
          <wp:positionH relativeFrom="column">
            <wp:posOffset>-6441</wp:posOffset>
          </wp:positionH>
          <wp:positionV relativeFrom="paragraph">
            <wp:posOffset>-68580</wp:posOffset>
          </wp:positionV>
          <wp:extent cx="2408555" cy="533400"/>
          <wp:effectExtent l="0" t="0" r="0" b="0"/>
          <wp:wrapNone/>
          <wp:docPr id="74" name="Imagen 7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40855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29EA" w:rsidRPr="00FD382C" w:rsidRDefault="00A729EA" w:rsidP="009858E3">
    <w:pPr>
      <w:pStyle w:val="Encabezado"/>
      <w:pBdr>
        <w:bottom w:val="single" w:sz="4" w:space="1" w:color="auto"/>
      </w:pBdr>
      <w:jc w:val="right"/>
      <w:rPr>
        <w:b/>
      </w:rPr>
    </w:pPr>
    <w:r w:rsidRPr="00FD382C">
      <w:rPr>
        <w:b/>
      </w:rPr>
      <w:t>COMUNICADO DE PRENSA</w:t>
    </w:r>
  </w:p>
  <w:p w:rsidR="00A729EA" w:rsidRDefault="00A729EA" w:rsidP="009858E3">
    <w:pPr>
      <w:pStyle w:val="Encabezado"/>
      <w:pBdr>
        <w:bottom w:val="single" w:sz="4" w:space="1" w:color="auto"/>
      </w:pBdr>
      <w:rPr>
        <w:b/>
      </w:rPr>
    </w:pPr>
    <w:r w:rsidRPr="00FD382C">
      <w:rPr>
        <w:b/>
      </w:rPr>
      <w:tab/>
    </w:r>
    <w:r w:rsidRPr="00FD382C">
      <w:rPr>
        <w:b/>
      </w:rPr>
      <w:tab/>
    </w:r>
    <w:r w:rsidR="00774921">
      <w:rPr>
        <w:b/>
      </w:rPr>
      <w:t>2</w:t>
    </w:r>
    <w:r w:rsidR="00EE51F5">
      <w:rPr>
        <w:b/>
      </w:rPr>
      <w:t>6</w:t>
    </w:r>
    <w:r w:rsidR="0035639B">
      <w:rPr>
        <w:b/>
      </w:rPr>
      <w:t xml:space="preserve"> de </w:t>
    </w:r>
    <w:r w:rsidR="00EE51F5">
      <w:rPr>
        <w:b/>
      </w:rPr>
      <w:t>agosto</w:t>
    </w:r>
    <w:r w:rsidR="0035639B">
      <w:rPr>
        <w:b/>
      </w:rPr>
      <w:t xml:space="preserve"> d</w:t>
    </w:r>
    <w:r w:rsidR="00AB7EAD">
      <w:rPr>
        <w:b/>
      </w:rPr>
      <w:t>e 201</w:t>
    </w:r>
    <w:r w:rsidRPr="00FD382C">
      <w:rPr>
        <w:b/>
      </w:rPr>
      <w:t>6</w:t>
    </w:r>
  </w:p>
  <w:p w:rsidR="009858E3" w:rsidRPr="00FD382C" w:rsidRDefault="009858E3"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6973188"/>
    <w:multiLevelType w:val="hybridMultilevel"/>
    <w:tmpl w:val="BEF6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F3DC9"/>
    <w:rsid w:val="00136CB0"/>
    <w:rsid w:val="00161F8D"/>
    <w:rsid w:val="001E2D5F"/>
    <w:rsid w:val="002B5C3A"/>
    <w:rsid w:val="002D141C"/>
    <w:rsid w:val="002E1BFC"/>
    <w:rsid w:val="00303081"/>
    <w:rsid w:val="0035639B"/>
    <w:rsid w:val="0036723F"/>
    <w:rsid w:val="003D02FA"/>
    <w:rsid w:val="003D15B6"/>
    <w:rsid w:val="00427615"/>
    <w:rsid w:val="004830B6"/>
    <w:rsid w:val="00563030"/>
    <w:rsid w:val="006022DC"/>
    <w:rsid w:val="00650542"/>
    <w:rsid w:val="006A4494"/>
    <w:rsid w:val="006F6C40"/>
    <w:rsid w:val="00774921"/>
    <w:rsid w:val="008B14B4"/>
    <w:rsid w:val="008B72D9"/>
    <w:rsid w:val="009265AF"/>
    <w:rsid w:val="00982E0D"/>
    <w:rsid w:val="009858E3"/>
    <w:rsid w:val="009C4049"/>
    <w:rsid w:val="009C6BC2"/>
    <w:rsid w:val="00A12283"/>
    <w:rsid w:val="00A71A63"/>
    <w:rsid w:val="00A729EA"/>
    <w:rsid w:val="00AB7EAD"/>
    <w:rsid w:val="00AC41DA"/>
    <w:rsid w:val="00AD51A3"/>
    <w:rsid w:val="00AE5679"/>
    <w:rsid w:val="00B0351E"/>
    <w:rsid w:val="00B21DCE"/>
    <w:rsid w:val="00BA7A93"/>
    <w:rsid w:val="00C005EA"/>
    <w:rsid w:val="00C5279C"/>
    <w:rsid w:val="00C8471D"/>
    <w:rsid w:val="00CF66DC"/>
    <w:rsid w:val="00D347ED"/>
    <w:rsid w:val="00D36F50"/>
    <w:rsid w:val="00D42C6C"/>
    <w:rsid w:val="00DD47CC"/>
    <w:rsid w:val="00E0320F"/>
    <w:rsid w:val="00E8098C"/>
    <w:rsid w:val="00E80F2B"/>
    <w:rsid w:val="00EC0FC2"/>
    <w:rsid w:val="00EE51F5"/>
    <w:rsid w:val="00EE656D"/>
    <w:rsid w:val="00F86774"/>
    <w:rsid w:val="00F9221C"/>
    <w:rsid w:val="00FD3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63405-AC78-4225-9ADA-D08CB83E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1199</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2016-07-21T16:31:00Z</cp:lastPrinted>
  <dcterms:created xsi:type="dcterms:W3CDTF">2016-08-26T16:01:00Z</dcterms:created>
  <dcterms:modified xsi:type="dcterms:W3CDTF">2016-08-26T19:27:00Z</dcterms:modified>
</cp:coreProperties>
</file>