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C901A" w14:textId="77777777" w:rsidR="007C0C33" w:rsidRDefault="007C0C33" w:rsidP="005009EC">
      <w:pPr>
        <w:jc w:val="center"/>
        <w:rPr>
          <w:b/>
          <w:sz w:val="32"/>
          <w:szCs w:val="32"/>
        </w:rPr>
      </w:pPr>
    </w:p>
    <w:p w14:paraId="58E0742E" w14:textId="0EBCD046" w:rsidR="005009EC" w:rsidRPr="00017867" w:rsidRDefault="005009EC" w:rsidP="005009EC">
      <w:pPr>
        <w:jc w:val="center"/>
        <w:rPr>
          <w:b/>
          <w:sz w:val="36"/>
          <w:szCs w:val="36"/>
        </w:rPr>
      </w:pPr>
      <w:r w:rsidRPr="00017867">
        <w:rPr>
          <w:b/>
          <w:sz w:val="36"/>
          <w:szCs w:val="36"/>
        </w:rPr>
        <w:t>Casinos de juego autorizados por la Ley Nº 19.995 generan</w:t>
      </w:r>
      <w:r w:rsidR="00463682" w:rsidRPr="00017867">
        <w:rPr>
          <w:b/>
          <w:sz w:val="36"/>
          <w:szCs w:val="36"/>
        </w:rPr>
        <w:t xml:space="preserve"> </w:t>
      </w:r>
      <w:r w:rsidRPr="00017867">
        <w:rPr>
          <w:b/>
          <w:sz w:val="36"/>
          <w:szCs w:val="36"/>
        </w:rPr>
        <w:br/>
        <w:t xml:space="preserve">recaudación tributaria </w:t>
      </w:r>
      <w:r w:rsidR="00D60D12">
        <w:rPr>
          <w:b/>
          <w:sz w:val="36"/>
          <w:szCs w:val="36"/>
        </w:rPr>
        <w:t xml:space="preserve">por </w:t>
      </w:r>
      <w:r w:rsidRPr="00017867">
        <w:rPr>
          <w:b/>
          <w:sz w:val="36"/>
          <w:szCs w:val="36"/>
        </w:rPr>
        <w:t>$</w:t>
      </w:r>
      <w:r w:rsidR="00AC4663" w:rsidRPr="00017867">
        <w:rPr>
          <w:b/>
          <w:sz w:val="36"/>
          <w:szCs w:val="36"/>
        </w:rPr>
        <w:t xml:space="preserve"> </w:t>
      </w:r>
      <w:r w:rsidR="00D60D12">
        <w:rPr>
          <w:b/>
          <w:sz w:val="36"/>
          <w:szCs w:val="36"/>
        </w:rPr>
        <w:t xml:space="preserve">126.338 </w:t>
      </w:r>
      <w:r w:rsidRPr="00017867">
        <w:rPr>
          <w:b/>
          <w:sz w:val="36"/>
          <w:szCs w:val="36"/>
        </w:rPr>
        <w:t xml:space="preserve">millones </w:t>
      </w:r>
      <w:r w:rsidR="00D60D12">
        <w:rPr>
          <w:b/>
          <w:sz w:val="36"/>
          <w:szCs w:val="36"/>
        </w:rPr>
        <w:t>en 2018</w:t>
      </w:r>
    </w:p>
    <w:p w14:paraId="5A08DB2C" w14:textId="2AC1843B" w:rsidR="00463682" w:rsidRPr="00D60D12" w:rsidRDefault="00463682" w:rsidP="005009EC">
      <w:pPr>
        <w:rPr>
          <w:b/>
        </w:rPr>
      </w:pPr>
    </w:p>
    <w:p w14:paraId="20CD0506" w14:textId="6284F7CE" w:rsidR="00463682" w:rsidRPr="00D60D12" w:rsidRDefault="00D60D12" w:rsidP="00D60D12">
      <w:pPr>
        <w:pStyle w:val="Prrafodelista"/>
        <w:numPr>
          <w:ilvl w:val="0"/>
          <w:numId w:val="4"/>
        </w:numPr>
        <w:ind w:left="284" w:hanging="284"/>
        <w:jc w:val="both"/>
        <w:rPr>
          <w:b/>
          <w:i/>
        </w:rPr>
      </w:pPr>
      <w:r w:rsidRPr="00D60D12">
        <w:rPr>
          <w:b/>
          <w:i/>
        </w:rPr>
        <w:t xml:space="preserve">Las cifras fueron dadas a conocer en el marco del </w:t>
      </w:r>
      <w:r w:rsidRPr="00D60D12">
        <w:rPr>
          <w:b/>
        </w:rPr>
        <w:t>Seminario “</w:t>
      </w:r>
      <w:r w:rsidRPr="00D60D12">
        <w:rPr>
          <w:b/>
          <w:i/>
        </w:rPr>
        <w:t>Jugados por el desarrollo II: El aporte público de los juegos de azar en las industrias regulada</w:t>
      </w:r>
      <w:r>
        <w:rPr>
          <w:b/>
          <w:i/>
        </w:rPr>
        <w:t xml:space="preserve">”, </w:t>
      </w:r>
      <w:r>
        <w:rPr>
          <w:b/>
        </w:rPr>
        <w:t>organizado por la Superintendencia de Casinos de Juego.</w:t>
      </w:r>
    </w:p>
    <w:p w14:paraId="6B0A2909" w14:textId="77777777" w:rsidR="00017867" w:rsidRPr="007C0C33" w:rsidRDefault="00017867" w:rsidP="00017867">
      <w:pPr>
        <w:pStyle w:val="Prrafodelista"/>
        <w:ind w:left="284"/>
        <w:jc w:val="both"/>
        <w:rPr>
          <w:b/>
          <w:i/>
        </w:rPr>
      </w:pPr>
    </w:p>
    <w:p w14:paraId="146459F8" w14:textId="0DFB25F1" w:rsidR="005009EC" w:rsidRDefault="005009EC" w:rsidP="004E23D0">
      <w:pPr>
        <w:jc w:val="both"/>
      </w:pPr>
    </w:p>
    <w:p w14:paraId="76EB58F4" w14:textId="48CCFF35" w:rsidR="007C0C33" w:rsidRDefault="007C0C33" w:rsidP="00017867">
      <w:pPr>
        <w:jc w:val="right"/>
      </w:pPr>
      <w:r>
        <w:t xml:space="preserve">Santiago </w:t>
      </w:r>
      <w:r w:rsidR="00017867">
        <w:t>21 de marzo</w:t>
      </w:r>
      <w:r>
        <w:t xml:space="preserve"> de 2018.</w:t>
      </w:r>
    </w:p>
    <w:p w14:paraId="623D3098" w14:textId="607E27D6" w:rsidR="00947E05" w:rsidRDefault="00947E05" w:rsidP="004E23D0">
      <w:pPr>
        <w:jc w:val="both"/>
      </w:pPr>
    </w:p>
    <w:p w14:paraId="533B1B73" w14:textId="205A4E85" w:rsidR="00D60D12" w:rsidRDefault="005009EC" w:rsidP="004E23D0">
      <w:pPr>
        <w:jc w:val="both"/>
      </w:pPr>
      <w:r>
        <w:t xml:space="preserve">En el marco del Seminario </w:t>
      </w:r>
      <w:r w:rsidR="00D60D12">
        <w:t>“</w:t>
      </w:r>
      <w:r w:rsidR="00D60D12" w:rsidRPr="00D60D12">
        <w:rPr>
          <w:b/>
        </w:rPr>
        <w:t>Jugados por el desarrollo II: El aporte público de los juegos de azar en las industrias regulada</w:t>
      </w:r>
      <w:r w:rsidR="00D60D12">
        <w:t xml:space="preserve">”, </w:t>
      </w:r>
      <w:r>
        <w:t xml:space="preserve">la Superintendencia de Casinos de Juego informó </w:t>
      </w:r>
      <w:r w:rsidR="00D60D12">
        <w:t xml:space="preserve">que durante 2018, los casinos de juego autorizados al amparo de la Ley N° 19.995, </w:t>
      </w:r>
      <w:r w:rsidR="00D60D12" w:rsidRPr="000249BB">
        <w:rPr>
          <w:rFonts w:cstheme="minorHAnsi"/>
        </w:rPr>
        <w:t>aportaron un total de $</w:t>
      </w:r>
      <w:r w:rsidR="00D60D12">
        <w:rPr>
          <w:rFonts w:cstheme="minorHAnsi"/>
        </w:rPr>
        <w:t xml:space="preserve"> 126</w:t>
      </w:r>
      <w:r w:rsidR="00D60D12" w:rsidRPr="000249BB">
        <w:rPr>
          <w:rFonts w:cstheme="minorHAnsi"/>
        </w:rPr>
        <w:t>.</w:t>
      </w:r>
      <w:r w:rsidR="00D60D12">
        <w:rPr>
          <w:rFonts w:cstheme="minorHAnsi"/>
        </w:rPr>
        <w:t>338</w:t>
      </w:r>
      <w:r w:rsidR="00D60D12" w:rsidRPr="000249BB">
        <w:rPr>
          <w:rFonts w:cstheme="minorHAnsi"/>
        </w:rPr>
        <w:t xml:space="preserve"> millones en impuestos</w:t>
      </w:r>
      <w:r w:rsidR="00D60D12">
        <w:rPr>
          <w:rFonts w:cstheme="minorHAnsi"/>
        </w:rPr>
        <w:t>.</w:t>
      </w:r>
    </w:p>
    <w:p w14:paraId="113BE865" w14:textId="77777777" w:rsidR="00D60D12" w:rsidRDefault="00D60D12" w:rsidP="004E23D0">
      <w:pPr>
        <w:jc w:val="both"/>
      </w:pPr>
    </w:p>
    <w:p w14:paraId="0935905F" w14:textId="0C4956B1" w:rsidR="00770CC5" w:rsidRDefault="00D60D12" w:rsidP="004E23D0">
      <w:pPr>
        <w:jc w:val="both"/>
        <w:rPr>
          <w:lang w:val="es-CL"/>
        </w:rPr>
      </w:pPr>
      <w:r>
        <w:t xml:space="preserve">De ese total, </w:t>
      </w:r>
      <w:r w:rsidR="00D54D01">
        <w:t>$</w:t>
      </w:r>
      <w:r w:rsidR="009C582B">
        <w:t xml:space="preserve"> 54.437 </w:t>
      </w:r>
      <w:r w:rsidR="00D54D01" w:rsidRPr="00D54D01">
        <w:rPr>
          <w:lang w:val="es-CL"/>
        </w:rPr>
        <w:t>millones</w:t>
      </w:r>
      <w:r w:rsidR="00D54D01">
        <w:rPr>
          <w:lang w:val="es-CL"/>
        </w:rPr>
        <w:t xml:space="preserve"> corresponden al impuesto específico</w:t>
      </w:r>
      <w:r w:rsidR="002F769D">
        <w:rPr>
          <w:lang w:val="es-CL"/>
        </w:rPr>
        <w:t xml:space="preserve"> </w:t>
      </w:r>
      <w:r w:rsidR="002F769D" w:rsidRPr="002F769D">
        <w:rPr>
          <w:lang w:val="es-CL"/>
        </w:rPr>
        <w:t>destinado</w:t>
      </w:r>
      <w:r w:rsidR="00B90D9F">
        <w:rPr>
          <w:lang w:val="es-CL"/>
        </w:rPr>
        <w:t>s</w:t>
      </w:r>
      <w:r w:rsidR="002F769D" w:rsidRPr="002F769D">
        <w:rPr>
          <w:lang w:val="es-CL"/>
        </w:rPr>
        <w:t xml:space="preserve"> a los Gobiernos Regionales y Municipalidades en donde operan</w:t>
      </w:r>
      <w:r w:rsidR="00311952">
        <w:rPr>
          <w:rStyle w:val="Refdenotaalpie"/>
          <w:lang w:val="es-CL"/>
        </w:rPr>
        <w:footnoteReference w:id="1"/>
      </w:r>
      <w:r w:rsidR="00D54D01">
        <w:rPr>
          <w:lang w:val="es-CL"/>
        </w:rPr>
        <w:t>,</w:t>
      </w:r>
      <w:r>
        <w:rPr>
          <w:lang w:val="es-CL"/>
        </w:rPr>
        <w:t xml:space="preserve"> para el financiamiento de obras de desarrollo</w:t>
      </w:r>
      <w:r w:rsidR="00770CC5">
        <w:rPr>
          <w:lang w:val="es-CL"/>
        </w:rPr>
        <w:t xml:space="preserve">, lo que </w:t>
      </w:r>
      <w:r w:rsidR="00770CC5">
        <w:rPr>
          <w:rFonts w:cstheme="minorHAnsi"/>
        </w:rPr>
        <w:t>implica un crecimiento de 5% en comparación con 2017.</w:t>
      </w:r>
    </w:p>
    <w:p w14:paraId="43D2CDFF" w14:textId="77777777" w:rsidR="00770CC5" w:rsidRDefault="00770CC5" w:rsidP="004E23D0">
      <w:pPr>
        <w:jc w:val="both"/>
        <w:rPr>
          <w:lang w:val="es-CL"/>
        </w:rPr>
      </w:pPr>
    </w:p>
    <w:p w14:paraId="6144AD33" w14:textId="5EDD3679" w:rsidR="00770CC5" w:rsidRDefault="00D60D12" w:rsidP="004E23D0">
      <w:pPr>
        <w:jc w:val="both"/>
        <w:rPr>
          <w:lang w:val="es-CL"/>
        </w:rPr>
      </w:pPr>
      <w:r>
        <w:rPr>
          <w:lang w:val="es-CL"/>
        </w:rPr>
        <w:t xml:space="preserve">En tanto, </w:t>
      </w:r>
      <w:r w:rsidR="004E23D0">
        <w:rPr>
          <w:lang w:val="es-CL"/>
        </w:rPr>
        <w:t>$</w:t>
      </w:r>
      <w:r w:rsidR="00AC4663">
        <w:rPr>
          <w:lang w:val="es-CL"/>
        </w:rPr>
        <w:t xml:space="preserve"> </w:t>
      </w:r>
      <w:r w:rsidR="009C582B">
        <w:rPr>
          <w:lang w:val="es-CL"/>
        </w:rPr>
        <w:t>53.599</w:t>
      </w:r>
      <w:r w:rsidR="00D54D01" w:rsidRPr="00D54D01">
        <w:rPr>
          <w:lang w:val="es-CL"/>
        </w:rPr>
        <w:t xml:space="preserve"> </w:t>
      </w:r>
      <w:r>
        <w:rPr>
          <w:lang w:val="es-CL"/>
        </w:rPr>
        <w:t xml:space="preserve">se generaron por el </w:t>
      </w:r>
      <w:r w:rsidR="00D54D01">
        <w:rPr>
          <w:lang w:val="es-CL"/>
        </w:rPr>
        <w:t xml:space="preserve">pago de IVA y </w:t>
      </w:r>
      <w:r w:rsidR="004E23D0">
        <w:rPr>
          <w:lang w:val="es-CL"/>
        </w:rPr>
        <w:t>$</w:t>
      </w:r>
      <w:r w:rsidR="00AC4663">
        <w:rPr>
          <w:lang w:val="es-CL"/>
        </w:rPr>
        <w:t xml:space="preserve"> </w:t>
      </w:r>
      <w:r w:rsidR="009C582B">
        <w:rPr>
          <w:lang w:val="es-CL"/>
        </w:rPr>
        <w:t>18.302</w:t>
      </w:r>
      <w:r w:rsidR="00D54D01" w:rsidRPr="00D54D01">
        <w:rPr>
          <w:lang w:val="es-CL"/>
        </w:rPr>
        <w:t xml:space="preserve"> millones</w:t>
      </w:r>
      <w:r w:rsidR="00D54D01">
        <w:rPr>
          <w:lang w:val="es-CL"/>
        </w:rPr>
        <w:t xml:space="preserve"> </w:t>
      </w:r>
      <w:r>
        <w:rPr>
          <w:lang w:val="es-CL"/>
        </w:rPr>
        <w:t xml:space="preserve">por concepto de </w:t>
      </w:r>
      <w:r w:rsidR="00D54D01">
        <w:rPr>
          <w:lang w:val="es-CL"/>
        </w:rPr>
        <w:t xml:space="preserve">impuesto por entrada a las salas de juego, que se destinan </w:t>
      </w:r>
      <w:r w:rsidR="00770CC5">
        <w:rPr>
          <w:lang w:val="es-CL"/>
        </w:rPr>
        <w:t xml:space="preserve">a fondos generales de la nación, lo que significa un alza de 5,2% y 2,3%, respecto del año anterior. </w:t>
      </w:r>
    </w:p>
    <w:p w14:paraId="2489046E" w14:textId="77777777" w:rsidR="00770CC5" w:rsidRDefault="00770CC5" w:rsidP="004E23D0">
      <w:pPr>
        <w:jc w:val="both"/>
        <w:rPr>
          <w:lang w:val="es-CL"/>
        </w:rPr>
      </w:pPr>
    </w:p>
    <w:p w14:paraId="42C22CF6" w14:textId="77777777" w:rsidR="00770CC5" w:rsidRDefault="00770CC5" w:rsidP="00770CC5">
      <w:pPr>
        <w:tabs>
          <w:tab w:val="left" w:pos="0"/>
        </w:tabs>
        <w:jc w:val="both"/>
      </w:pPr>
      <w:r>
        <w:rPr>
          <w:lang w:val="es-CL"/>
        </w:rPr>
        <w:t xml:space="preserve">Por su parte, la industria de casinos de juego -conformada por </w:t>
      </w:r>
      <w:r w:rsidR="00D759DF">
        <w:rPr>
          <w:lang w:val="es-CL"/>
        </w:rPr>
        <w:t xml:space="preserve">los 18 casinos de juego </w:t>
      </w:r>
      <w:r w:rsidR="004E23D0" w:rsidRPr="004E23D0">
        <w:rPr>
          <w:lang w:val="es-CL"/>
        </w:rPr>
        <w:t xml:space="preserve">autorizados por la Ley Nº 19.995 </w:t>
      </w:r>
      <w:r w:rsidR="00D759DF">
        <w:rPr>
          <w:lang w:val="es-CL"/>
        </w:rPr>
        <w:t>y los siete casinos de conc</w:t>
      </w:r>
      <w:r>
        <w:rPr>
          <w:lang w:val="es-CL"/>
        </w:rPr>
        <w:t xml:space="preserve">esión municipal- registraron durante 2018, ingresos brutos </w:t>
      </w:r>
      <w:r w:rsidR="00D759DF">
        <w:rPr>
          <w:lang w:val="es-CL"/>
        </w:rPr>
        <w:t>del juego (win) por $</w:t>
      </w:r>
      <w:r w:rsidR="00AC4663">
        <w:rPr>
          <w:lang w:val="es-CL"/>
        </w:rPr>
        <w:t xml:space="preserve"> </w:t>
      </w:r>
      <w:r w:rsidR="009C582B">
        <w:rPr>
          <w:lang w:val="es-CL"/>
        </w:rPr>
        <w:t>481.924</w:t>
      </w:r>
      <w:r w:rsidR="004E23D0">
        <w:rPr>
          <w:lang w:val="es-CL"/>
        </w:rPr>
        <w:t xml:space="preserve"> </w:t>
      </w:r>
      <w:r w:rsidR="00D759DF">
        <w:rPr>
          <w:lang w:val="es-CL"/>
        </w:rPr>
        <w:t>millones</w:t>
      </w:r>
      <w:r>
        <w:rPr>
          <w:lang w:val="es-CL"/>
        </w:rPr>
        <w:t xml:space="preserve">, </w:t>
      </w:r>
      <w:r>
        <w:t xml:space="preserve">lo que </w:t>
      </w:r>
      <w:r w:rsidRPr="005B279E">
        <w:t xml:space="preserve">implica un crecimiento real acumulado de </w:t>
      </w:r>
      <w:r>
        <w:t>3,1</w:t>
      </w:r>
      <w:r w:rsidRPr="005B279E">
        <w:t>%</w:t>
      </w:r>
      <w:r w:rsidRPr="00ED60A3">
        <w:rPr>
          <w:i/>
          <w:vertAlign w:val="superscript"/>
        </w:rPr>
        <w:footnoteReference w:id="2"/>
      </w:r>
      <w:r w:rsidRPr="005B279E">
        <w:t xml:space="preserve"> en </w:t>
      </w:r>
      <w:r>
        <w:t>comparación con 2017</w:t>
      </w:r>
      <w:r w:rsidRPr="005B279E">
        <w:t>.</w:t>
      </w:r>
    </w:p>
    <w:p w14:paraId="3E245556" w14:textId="0CC37DEA" w:rsidR="00DA3187" w:rsidRDefault="00DA3187" w:rsidP="004E23D0">
      <w:pPr>
        <w:jc w:val="both"/>
        <w:rPr>
          <w:lang w:val="es-CL"/>
        </w:rPr>
      </w:pPr>
    </w:p>
    <w:p w14:paraId="20CB7D53" w14:textId="598AB58E" w:rsidR="00275006" w:rsidRDefault="00275006" w:rsidP="004E23D0">
      <w:pPr>
        <w:jc w:val="both"/>
        <w:rPr>
          <w:i/>
          <w:color w:val="000000" w:themeColor="text1"/>
          <w:lang w:val="es-ES"/>
        </w:rPr>
      </w:pPr>
      <w:r w:rsidRPr="009A5490">
        <w:rPr>
          <w:lang w:val="es-CL"/>
        </w:rPr>
        <w:t>Al presentar las cifras, la Superintendenta de Casin</w:t>
      </w:r>
      <w:r w:rsidR="00770CC5">
        <w:rPr>
          <w:lang w:val="es-CL"/>
        </w:rPr>
        <w:t>os de Juego, Vivien Villagrán, destacó  “</w:t>
      </w:r>
      <w:r w:rsidR="00770CC5" w:rsidRPr="00770CC5">
        <w:rPr>
          <w:i/>
          <w:lang w:val="es-CL"/>
        </w:rPr>
        <w:t xml:space="preserve">el aporte que esta </w:t>
      </w:r>
      <w:r w:rsidR="00B90D9F" w:rsidRPr="00770CC5">
        <w:rPr>
          <w:i/>
          <w:color w:val="000000" w:themeColor="text1"/>
          <w:lang w:val="es-ES"/>
        </w:rPr>
        <w:t xml:space="preserve">industria </w:t>
      </w:r>
      <w:r w:rsidR="00770CC5">
        <w:rPr>
          <w:i/>
          <w:color w:val="000000" w:themeColor="text1"/>
          <w:lang w:val="es-ES"/>
        </w:rPr>
        <w:t xml:space="preserve"> realiza directamente en los territorios en que se ubican, a través del impuesto específico al juego, el único de carácter territorial que existe en el país”. </w:t>
      </w:r>
    </w:p>
    <w:p w14:paraId="3963EFC3" w14:textId="77777777" w:rsidR="00770CC5" w:rsidRDefault="00770CC5" w:rsidP="004E23D0">
      <w:pPr>
        <w:jc w:val="both"/>
        <w:rPr>
          <w:i/>
          <w:color w:val="000000" w:themeColor="text1"/>
          <w:lang w:val="es-ES"/>
        </w:rPr>
      </w:pPr>
    </w:p>
    <w:p w14:paraId="366F068F" w14:textId="11C3E253" w:rsidR="00BB2019" w:rsidRDefault="00BB2019" w:rsidP="009F328C">
      <w:pPr>
        <w:ind w:left="-284"/>
        <w:jc w:val="both"/>
        <w:rPr>
          <w:i/>
          <w:color w:val="000000" w:themeColor="text1"/>
          <w:lang w:val="es-ES"/>
        </w:rPr>
      </w:pPr>
      <w:r w:rsidRPr="001265B2"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22CE4041" wp14:editId="5456A300">
            <wp:simplePos x="0" y="0"/>
            <wp:positionH relativeFrom="margin">
              <wp:posOffset>266700</wp:posOffset>
            </wp:positionH>
            <wp:positionV relativeFrom="paragraph">
              <wp:posOffset>180340</wp:posOffset>
            </wp:positionV>
            <wp:extent cx="5612130" cy="2423795"/>
            <wp:effectExtent l="0" t="0" r="762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1EA40" w14:textId="2DC71431" w:rsidR="00770CC5" w:rsidRDefault="00770CC5" w:rsidP="004E23D0">
      <w:pPr>
        <w:jc w:val="both"/>
        <w:rPr>
          <w:b/>
        </w:rPr>
      </w:pPr>
      <w:r w:rsidRPr="00770CC5">
        <w:rPr>
          <w:b/>
          <w:color w:val="000000" w:themeColor="text1"/>
          <w:lang w:val="es-ES"/>
        </w:rPr>
        <w:t>Seminario</w:t>
      </w:r>
      <w:r>
        <w:rPr>
          <w:b/>
          <w:color w:val="000000" w:themeColor="text1"/>
          <w:lang w:val="es-ES"/>
        </w:rPr>
        <w:t xml:space="preserve"> “</w:t>
      </w:r>
      <w:r w:rsidRPr="00770CC5">
        <w:rPr>
          <w:b/>
          <w:i/>
        </w:rPr>
        <w:t>Jugados por el desarrollo II: El aporte público de los juegos de azar en las industrias reguladas</w:t>
      </w:r>
      <w:r>
        <w:rPr>
          <w:b/>
        </w:rPr>
        <w:t>”.</w:t>
      </w:r>
    </w:p>
    <w:p w14:paraId="7827E69D" w14:textId="77777777" w:rsidR="00770CC5" w:rsidRPr="00770CC5" w:rsidRDefault="00770CC5" w:rsidP="004E23D0">
      <w:pPr>
        <w:jc w:val="both"/>
        <w:rPr>
          <w:b/>
          <w:lang w:val="es-CL"/>
        </w:rPr>
      </w:pPr>
    </w:p>
    <w:p w14:paraId="6D5AB38A" w14:textId="098E03C1" w:rsidR="00770CC5" w:rsidRDefault="001265B2" w:rsidP="00297541">
      <w:pPr>
        <w:jc w:val="both"/>
        <w:rPr>
          <w:lang w:val="es-CL"/>
        </w:rPr>
      </w:pPr>
      <w:r>
        <w:rPr>
          <w:lang w:val="es-CL"/>
        </w:rPr>
        <w:t>L</w:t>
      </w:r>
      <w:r w:rsidR="00297541" w:rsidRPr="00DF6DC6">
        <w:rPr>
          <w:lang w:val="es-CL"/>
        </w:rPr>
        <w:t xml:space="preserve">a </w:t>
      </w:r>
      <w:r w:rsidR="00770CC5">
        <w:rPr>
          <w:lang w:val="es-CL"/>
        </w:rPr>
        <w:t xml:space="preserve">actividad que se desarrolló durante esta mañana, en las dependencias de la Contraloría General de la República, fue inaugurado por el Subsecretario de Hacienda, Francisco Moreno Guzmán y por la Superintendenta de Casinos de Juego, Vivien Villagrán. </w:t>
      </w:r>
    </w:p>
    <w:p w14:paraId="52B8D652" w14:textId="77777777" w:rsidR="00770CC5" w:rsidRDefault="00770CC5" w:rsidP="00297541">
      <w:pPr>
        <w:jc w:val="both"/>
        <w:rPr>
          <w:lang w:val="es-CL"/>
        </w:rPr>
      </w:pPr>
    </w:p>
    <w:p w14:paraId="2A14DB19" w14:textId="11795B5F" w:rsidR="00BB2019" w:rsidRDefault="00BB2019" w:rsidP="00297541">
      <w:pPr>
        <w:jc w:val="both"/>
      </w:pPr>
      <w:r>
        <w:rPr>
          <w:lang w:val="es-CL"/>
        </w:rPr>
        <w:t xml:space="preserve">Durante la jornada se realizó el panel institucional, denominado </w:t>
      </w:r>
      <w:r w:rsidR="00DE4B06">
        <w:rPr>
          <w:lang w:val="es-CL"/>
        </w:rPr>
        <w:t>“</w:t>
      </w:r>
      <w:r w:rsidR="009C582B">
        <w:t>Una mirada de futuro para la industria de casinos de juego</w:t>
      </w:r>
      <w:r w:rsidR="00DE4B06">
        <w:t>”</w:t>
      </w:r>
      <w:r w:rsidR="00297541" w:rsidRPr="00DF6DC6">
        <w:t xml:space="preserve">, </w:t>
      </w:r>
      <w:r>
        <w:t xml:space="preserve">que contó con la </w:t>
      </w:r>
      <w:r w:rsidR="00297541" w:rsidRPr="00DF6DC6">
        <w:t>participación de</w:t>
      </w:r>
      <w:r w:rsidR="009C582B">
        <w:t xml:space="preserve">l Subdirector General de Regulación de </w:t>
      </w:r>
      <w:r w:rsidR="003F0A3E">
        <w:t>Ju</w:t>
      </w:r>
      <w:r w:rsidR="009C582B">
        <w:t xml:space="preserve">ego, de la Dirección General de Ordenación del Juego, de España, </w:t>
      </w:r>
      <w:r>
        <w:t>Guillermo Olagüe Sánchez;</w:t>
      </w:r>
      <w:r w:rsidR="009C582B">
        <w:t xml:space="preserve"> </w:t>
      </w:r>
      <w:r w:rsidR="00297541" w:rsidRPr="00DF6DC6">
        <w:t xml:space="preserve">la </w:t>
      </w:r>
      <w:r w:rsidR="001265B2">
        <w:t>directora</w:t>
      </w:r>
      <w:r w:rsidR="009C582B">
        <w:t xml:space="preserve"> del Servicio Nacional de </w:t>
      </w:r>
      <w:r w:rsidR="001265B2">
        <w:t xml:space="preserve">Turismo, </w:t>
      </w:r>
      <w:r w:rsidR="009C582B">
        <w:t xml:space="preserve">Andrea Wolleter </w:t>
      </w:r>
      <w:r>
        <w:t xml:space="preserve">Eyheramendy; </w:t>
      </w:r>
      <w:r w:rsidR="001265B2">
        <w:t xml:space="preserve">y el alcalde de la Ilustre Municipalidad de Ovalle, Claudio Rentería Larrondo.  </w:t>
      </w:r>
    </w:p>
    <w:p w14:paraId="3A71EA71" w14:textId="77777777" w:rsidR="00BB2019" w:rsidRDefault="00BB2019" w:rsidP="00297541">
      <w:pPr>
        <w:jc w:val="both"/>
      </w:pPr>
    </w:p>
    <w:p w14:paraId="066854F7" w14:textId="7744BF71" w:rsidR="00297541" w:rsidRPr="00DF6DC6" w:rsidRDefault="00BB2019" w:rsidP="00297541">
      <w:pPr>
        <w:jc w:val="both"/>
      </w:pPr>
      <w:r>
        <w:t>Por su parte, el segundo panel “</w:t>
      </w:r>
      <w:r w:rsidR="001265B2">
        <w:t xml:space="preserve">Industria: Desafíos y condiciones para el desarrollo sostenible de los casinos”, </w:t>
      </w:r>
      <w:r>
        <w:t xml:space="preserve">contó con la </w:t>
      </w:r>
      <w:r w:rsidR="001265B2">
        <w:t xml:space="preserve">participación del Gerente de Servicios Legales Enjoy S.A., </w:t>
      </w:r>
      <w:r>
        <w:t xml:space="preserve">Eduardo Sboccia Serrano; </w:t>
      </w:r>
      <w:r w:rsidR="001265B2">
        <w:t>el Gerente de la Asociación Nacional de Casinos de Juego</w:t>
      </w:r>
      <w:r>
        <w:t>, Rodrigo Guiñez Saavedra;</w:t>
      </w:r>
      <w:r w:rsidR="001265B2">
        <w:t xml:space="preserve"> la Gerenta Corporativa Experiencia Cliente y M</w:t>
      </w:r>
      <w:r>
        <w:t xml:space="preserve">arketing de Marina del Sol, Ester Ramírez Herrera; </w:t>
      </w:r>
      <w:r w:rsidR="001265B2">
        <w:t xml:space="preserve">y el Asesor </w:t>
      </w:r>
      <w:r>
        <w:t xml:space="preserve">de la Asociación </w:t>
      </w:r>
      <w:r w:rsidR="001265B2">
        <w:t>Na</w:t>
      </w:r>
      <w:r>
        <w:t xml:space="preserve">cional de Casinos de Juego, </w:t>
      </w:r>
      <w:r w:rsidR="001265B2">
        <w:t xml:space="preserve">Juan Carlos Manríquez. </w:t>
      </w:r>
    </w:p>
    <w:p w14:paraId="171494B1" w14:textId="77777777" w:rsidR="00297541" w:rsidRDefault="00297541" w:rsidP="00297541">
      <w:pPr>
        <w:jc w:val="both"/>
      </w:pPr>
    </w:p>
    <w:p w14:paraId="21A8A405" w14:textId="38BA0B72" w:rsidR="00BB2019" w:rsidRDefault="00297541" w:rsidP="00BB2019">
      <w:pPr>
        <w:jc w:val="both"/>
      </w:pPr>
      <w:r w:rsidRPr="00297541">
        <w:t>E</w:t>
      </w:r>
      <w:r w:rsidR="00DE4B06">
        <w:t xml:space="preserve">ntre los temas </w:t>
      </w:r>
      <w:r w:rsidR="00BB2019">
        <w:t xml:space="preserve">que se abordaron </w:t>
      </w:r>
      <w:r w:rsidRPr="00297541">
        <w:t xml:space="preserve">se </w:t>
      </w:r>
      <w:bookmarkStart w:id="1" w:name="_Hlk502671143"/>
      <w:r w:rsidR="001265B2">
        <w:t>encuentra el desarrollo del turismo y la consolidación del mercado, el combate al ju</w:t>
      </w:r>
      <w:r w:rsidR="003F0A3E">
        <w:t>e</w:t>
      </w:r>
      <w:r w:rsidR="001265B2">
        <w:t xml:space="preserve">go ilegal, la regulación del juego online y juego responsable para la sustentabilidad de la industria, </w:t>
      </w:r>
      <w:bookmarkEnd w:id="1"/>
      <w:r w:rsidR="00DE66FF" w:rsidRPr="00DE66FF">
        <w:t>entre otros.</w:t>
      </w:r>
      <w:r>
        <w:tab/>
      </w:r>
    </w:p>
    <w:p w14:paraId="20615F2C" w14:textId="77777777" w:rsidR="009F328C" w:rsidRDefault="009F328C" w:rsidP="00BB2019">
      <w:pPr>
        <w:jc w:val="both"/>
      </w:pPr>
    </w:p>
    <w:p w14:paraId="2AD1650C" w14:textId="20B0BF44" w:rsidR="002F769D" w:rsidRDefault="00BB2019" w:rsidP="00BB2019">
      <w:pPr>
        <w:jc w:val="both"/>
      </w:pPr>
      <w:r w:rsidRPr="00BB2019">
        <w:t>Este panel es el resultado de un proceso participativo que</w:t>
      </w:r>
      <w:r>
        <w:t xml:space="preserve"> se denominó </w:t>
      </w:r>
      <w:r w:rsidRPr="00BB2019">
        <w:t xml:space="preserve"> “Mesa Redonda de la Industria de Casinos” en el que la SCJ invitó a representantes de </w:t>
      </w:r>
      <w:r>
        <w:t>l</w:t>
      </w:r>
      <w:r w:rsidRPr="00BB2019">
        <w:t xml:space="preserve">as sociedades operadoras de los Casinos regulados por la ley Nº 19.995 a reflexionar en conjunto acerca del camino que ha tenido la industria y sobre todo los desafíos para su crecimiento y consolidación. </w:t>
      </w:r>
    </w:p>
    <w:sectPr w:rsidR="002F769D" w:rsidSect="00BB2019">
      <w:headerReference w:type="default" r:id="rId8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64600" w14:textId="77777777" w:rsidR="0078560D" w:rsidRDefault="0078560D" w:rsidP="00311952">
      <w:r>
        <w:separator/>
      </w:r>
    </w:p>
  </w:endnote>
  <w:endnote w:type="continuationSeparator" w:id="0">
    <w:p w14:paraId="00B5CF8D" w14:textId="77777777" w:rsidR="0078560D" w:rsidRDefault="0078560D" w:rsidP="0031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19D50" w14:textId="77777777" w:rsidR="0078560D" w:rsidRDefault="0078560D" w:rsidP="00311952">
      <w:r>
        <w:separator/>
      </w:r>
    </w:p>
  </w:footnote>
  <w:footnote w:type="continuationSeparator" w:id="0">
    <w:p w14:paraId="4E91441B" w14:textId="77777777" w:rsidR="0078560D" w:rsidRDefault="0078560D" w:rsidP="00311952">
      <w:r>
        <w:continuationSeparator/>
      </w:r>
    </w:p>
  </w:footnote>
  <w:footnote w:id="1">
    <w:p w14:paraId="6C7B68A4" w14:textId="77777777" w:rsidR="00311952" w:rsidRPr="002F769D" w:rsidRDefault="00311952" w:rsidP="00311952">
      <w:pPr>
        <w:rPr>
          <w:rFonts w:ascii="Times New Roman" w:eastAsia="Times New Roman" w:hAnsi="Times New Roman" w:cs="Times New Roman"/>
          <w:lang w:eastAsia="es-ES_tradnl"/>
        </w:rPr>
      </w:pPr>
      <w:r>
        <w:rPr>
          <w:rStyle w:val="Refdenotaalpie"/>
        </w:rPr>
        <w:footnoteRef/>
      </w:r>
      <w:r>
        <w:t xml:space="preserve"> </w:t>
      </w:r>
      <w:r w:rsidRPr="002F769D">
        <w:rPr>
          <w:rFonts w:ascii="Trebuchet MS" w:eastAsia="Times New Roman" w:hAnsi="Trebuchet MS" w:cs="Times New Roman"/>
          <w:color w:val="475465"/>
          <w:sz w:val="17"/>
          <w:szCs w:val="17"/>
          <w:shd w:val="clear" w:color="auto" w:fill="FFFFFF"/>
          <w:lang w:eastAsia="es-ES_tradnl"/>
        </w:rPr>
        <w:t>El impuesto específico se aplica sobre los ingresos brutos obtenidos en la explotación de los juegos autorizados, previa deducción del monto por impuesto al valor agregado (IVA) y el monto para los pagos provisionales mensuales obligatorios (PPM).</w:t>
      </w:r>
    </w:p>
    <w:p w14:paraId="6F701069" w14:textId="5FDAEB22" w:rsidR="00311952" w:rsidRPr="00311952" w:rsidRDefault="00311952">
      <w:pPr>
        <w:pStyle w:val="Textonotapie"/>
        <w:rPr>
          <w:lang w:val="es-ES"/>
        </w:rPr>
      </w:pPr>
    </w:p>
  </w:footnote>
  <w:footnote w:id="2">
    <w:p w14:paraId="2E43A0A0" w14:textId="77777777" w:rsidR="00770CC5" w:rsidRDefault="00770CC5" w:rsidP="00770CC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75F68">
        <w:rPr>
          <w:rFonts w:ascii="Trebuchet MS" w:eastAsia="Times New Roman" w:hAnsi="Trebuchet MS" w:cs="Times New Roman"/>
          <w:color w:val="475465"/>
          <w:sz w:val="17"/>
          <w:szCs w:val="17"/>
          <w:shd w:val="clear" w:color="auto" w:fill="FFFFFF"/>
          <w:lang w:eastAsia="es-ES_tradnl"/>
        </w:rPr>
        <w:t>Corresponde al crecimiento de los ingresos brutos acumulados, considerando el periodo enero de 2018-diciembre de 2018, y se comparan con los ingresos acumulados</w:t>
      </w:r>
      <w:bookmarkStart w:id="0" w:name="_GoBack"/>
      <w:bookmarkEnd w:id="0"/>
      <w:r w:rsidRPr="00075F68">
        <w:rPr>
          <w:rFonts w:ascii="Trebuchet MS" w:eastAsia="Times New Roman" w:hAnsi="Trebuchet MS" w:cs="Times New Roman"/>
          <w:color w:val="475465"/>
          <w:sz w:val="17"/>
          <w:szCs w:val="17"/>
          <w:shd w:val="clear" w:color="auto" w:fill="FFFFFF"/>
          <w:lang w:eastAsia="es-ES_tradnl"/>
        </w:rPr>
        <w:t xml:space="preserve"> del periodo enero de 2017 - diciembre de 2017, corregido por la UF del último día del 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11B56" w14:textId="33B6FC55" w:rsidR="007C0C33" w:rsidRDefault="007C0C33">
    <w:pPr>
      <w:pStyle w:val="Encabezado"/>
    </w:pPr>
    <w:r w:rsidRPr="000F2490">
      <w:rPr>
        <w:noProof/>
        <w:lang w:val="es-CL" w:eastAsia="es-CL"/>
      </w:rPr>
      <w:drawing>
        <wp:inline distT="0" distB="0" distL="0" distR="0" wp14:anchorId="3FE11D3A" wp14:editId="3A2B133C">
          <wp:extent cx="2447925" cy="657225"/>
          <wp:effectExtent l="0" t="0" r="9525" b="9525"/>
          <wp:docPr id="4" name="Imagen 4" descr="SCJ_marca_princip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CJ_marca_princip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A3110"/>
    <w:multiLevelType w:val="hybridMultilevel"/>
    <w:tmpl w:val="E8AA49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E611B"/>
    <w:multiLevelType w:val="hybridMultilevel"/>
    <w:tmpl w:val="024EAC76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C0A10AD"/>
    <w:multiLevelType w:val="hybridMultilevel"/>
    <w:tmpl w:val="F2AAE538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4220ABD"/>
    <w:multiLevelType w:val="hybridMultilevel"/>
    <w:tmpl w:val="638C6EE8"/>
    <w:lvl w:ilvl="0" w:tplc="57002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07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A5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2C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88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26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A8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8C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84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82"/>
    <w:rsid w:val="00017867"/>
    <w:rsid w:val="00027BC7"/>
    <w:rsid w:val="00042CC2"/>
    <w:rsid w:val="00075F68"/>
    <w:rsid w:val="00080E53"/>
    <w:rsid w:val="000B58BF"/>
    <w:rsid w:val="001265B2"/>
    <w:rsid w:val="001C6D2D"/>
    <w:rsid w:val="00275006"/>
    <w:rsid w:val="00297541"/>
    <w:rsid w:val="002F769D"/>
    <w:rsid w:val="00311952"/>
    <w:rsid w:val="003A54EC"/>
    <w:rsid w:val="003F0A3E"/>
    <w:rsid w:val="00463682"/>
    <w:rsid w:val="004958CE"/>
    <w:rsid w:val="004E23D0"/>
    <w:rsid w:val="005009EC"/>
    <w:rsid w:val="00564DAE"/>
    <w:rsid w:val="00651FFC"/>
    <w:rsid w:val="00673201"/>
    <w:rsid w:val="00770CC5"/>
    <w:rsid w:val="0078560D"/>
    <w:rsid w:val="007C0C33"/>
    <w:rsid w:val="008A7372"/>
    <w:rsid w:val="00947E05"/>
    <w:rsid w:val="009A5490"/>
    <w:rsid w:val="009C582B"/>
    <w:rsid w:val="009F328C"/>
    <w:rsid w:val="00A475B3"/>
    <w:rsid w:val="00A8205F"/>
    <w:rsid w:val="00AC4663"/>
    <w:rsid w:val="00AF5294"/>
    <w:rsid w:val="00B90D9F"/>
    <w:rsid w:val="00BB2019"/>
    <w:rsid w:val="00D54D01"/>
    <w:rsid w:val="00D55833"/>
    <w:rsid w:val="00D60D12"/>
    <w:rsid w:val="00D759DF"/>
    <w:rsid w:val="00DA3187"/>
    <w:rsid w:val="00DB7391"/>
    <w:rsid w:val="00DE4B06"/>
    <w:rsid w:val="00DE66FF"/>
    <w:rsid w:val="00DF6DC6"/>
    <w:rsid w:val="00E35586"/>
    <w:rsid w:val="00E8150E"/>
    <w:rsid w:val="00EB522A"/>
    <w:rsid w:val="00E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004E204"/>
  <w14:defaultImageDpi w14:val="32767"/>
  <w15:docId w15:val="{B27DDE5F-B56F-4F74-8381-DB5FC0A3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5009E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09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009EC"/>
    <w:rPr>
      <w:rFonts w:ascii="Times New Roman" w:hAnsi="Times New Roman" w:cs="Times New Roman"/>
      <w:b/>
      <w:bCs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09E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027BC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027BC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27BC7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311952"/>
  </w:style>
  <w:style w:type="character" w:customStyle="1" w:styleId="TextonotapieCar">
    <w:name w:val="Texto nota pie Car"/>
    <w:basedOn w:val="Fuentedeprrafopredeter"/>
    <w:link w:val="Textonotapie"/>
    <w:uiPriority w:val="99"/>
    <w:rsid w:val="00311952"/>
  </w:style>
  <w:style w:type="character" w:styleId="Refdenotaalpie">
    <w:name w:val="footnote reference"/>
    <w:basedOn w:val="Fuentedeprrafopredeter"/>
    <w:uiPriority w:val="99"/>
    <w:unhideWhenUsed/>
    <w:rsid w:val="0031195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B0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B0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C0C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0C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33"/>
  </w:style>
  <w:style w:type="paragraph" w:styleId="Piedepgina">
    <w:name w:val="footer"/>
    <w:basedOn w:val="Normal"/>
    <w:link w:val="PiedepginaCar"/>
    <w:uiPriority w:val="99"/>
    <w:unhideWhenUsed/>
    <w:rsid w:val="007C0C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9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Desiree Navia Toro</cp:lastModifiedBy>
  <cp:revision>8</cp:revision>
  <cp:lastPrinted>2019-03-21T11:04:00Z</cp:lastPrinted>
  <dcterms:created xsi:type="dcterms:W3CDTF">2019-03-20T13:15:00Z</dcterms:created>
  <dcterms:modified xsi:type="dcterms:W3CDTF">2019-03-21T18:18:00Z</dcterms:modified>
</cp:coreProperties>
</file>