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2AE" w:rsidRPr="00B534E1" w:rsidRDefault="00A872AE" w:rsidP="00A872AE">
      <w:pPr>
        <w:spacing w:after="0" w:line="240" w:lineRule="auto"/>
        <w:jc w:val="center"/>
        <w:rPr>
          <w:rFonts w:asciiTheme="majorHAnsi" w:hAnsiTheme="majorHAnsi"/>
          <w:b/>
          <w:sz w:val="24"/>
          <w:szCs w:val="24"/>
          <w:lang w:val="es-MX"/>
        </w:rPr>
      </w:pPr>
      <w:r w:rsidRPr="00B534E1">
        <w:rPr>
          <w:rFonts w:asciiTheme="majorHAnsi" w:hAnsiTheme="majorHAnsi"/>
          <w:b/>
          <w:sz w:val="24"/>
          <w:szCs w:val="24"/>
          <w:lang w:val="es-MX"/>
        </w:rPr>
        <w:t>OBSERVACIONES A</w:t>
      </w:r>
      <w:r w:rsidR="007B65EF" w:rsidRPr="00B534E1">
        <w:rPr>
          <w:rFonts w:asciiTheme="majorHAnsi" w:hAnsiTheme="majorHAnsi"/>
          <w:b/>
          <w:sz w:val="24"/>
          <w:szCs w:val="24"/>
          <w:lang w:val="es-MX"/>
        </w:rPr>
        <w:t>L</w:t>
      </w:r>
      <w:r w:rsidRPr="00B534E1">
        <w:rPr>
          <w:rFonts w:asciiTheme="majorHAnsi" w:hAnsiTheme="majorHAnsi"/>
          <w:b/>
          <w:sz w:val="24"/>
          <w:szCs w:val="24"/>
          <w:lang w:val="es-MX"/>
        </w:rPr>
        <w:t xml:space="preserve"> BORRADOR DE</w:t>
      </w:r>
      <w:r w:rsidR="007B65EF" w:rsidRPr="00B534E1">
        <w:rPr>
          <w:rFonts w:asciiTheme="majorHAnsi" w:hAnsiTheme="majorHAnsi"/>
          <w:b/>
          <w:sz w:val="24"/>
          <w:szCs w:val="24"/>
          <w:lang w:val="es-MX"/>
        </w:rPr>
        <w:t>L</w:t>
      </w:r>
      <w:r w:rsidRPr="00B534E1">
        <w:rPr>
          <w:rFonts w:asciiTheme="majorHAnsi" w:hAnsiTheme="majorHAnsi"/>
          <w:b/>
          <w:sz w:val="24"/>
          <w:szCs w:val="24"/>
          <w:lang w:val="es-MX"/>
        </w:rPr>
        <w:t xml:space="preserve"> </w:t>
      </w:r>
      <w:r w:rsidR="007B65EF" w:rsidRPr="00B534E1">
        <w:rPr>
          <w:rFonts w:asciiTheme="majorHAnsi" w:hAnsiTheme="majorHAnsi"/>
          <w:b/>
          <w:sz w:val="24"/>
          <w:szCs w:val="24"/>
          <w:lang w:val="es-MX"/>
        </w:rPr>
        <w:t>DECRETO SUPREMO QUE APRUEBA  EL REGLAMENTO PARA LA TRAMITACIÓN Y OTORGAMIENTO DE PERMISOS DE OPERACIÓN DE CASINOS DE JUEGO Y DEROGA DECRETO SUPREMO N°211, DEL MINISTERIO DE HACIENDA, DE 2005.</w:t>
      </w:r>
    </w:p>
    <w:p w:rsidR="00CB4CC8" w:rsidRPr="00B534E1" w:rsidRDefault="00CB4CC8" w:rsidP="00A872AE">
      <w:pPr>
        <w:spacing w:after="0" w:line="240" w:lineRule="auto"/>
        <w:jc w:val="center"/>
        <w:rPr>
          <w:rFonts w:asciiTheme="majorHAnsi" w:hAnsiTheme="majorHAnsi"/>
          <w:b/>
          <w:sz w:val="24"/>
          <w:szCs w:val="24"/>
          <w:lang w:val="es-MX"/>
        </w:rPr>
      </w:pPr>
    </w:p>
    <w:p w:rsidR="007B65EF" w:rsidRPr="00B534E1" w:rsidRDefault="007B65EF" w:rsidP="00A872AE">
      <w:p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A continuación se exponen un conjunto de observaciones al proyecto de reglamento sometido a consulta por la Superintendencia de Casinos de Juego.</w:t>
      </w:r>
    </w:p>
    <w:p w:rsidR="007B65EF" w:rsidRPr="00B534E1" w:rsidRDefault="007B65EF" w:rsidP="00A872AE">
      <w:pPr>
        <w:spacing w:after="0" w:line="240" w:lineRule="auto"/>
        <w:jc w:val="both"/>
        <w:rPr>
          <w:rFonts w:asciiTheme="majorHAnsi" w:hAnsiTheme="majorHAnsi"/>
          <w:sz w:val="24"/>
          <w:szCs w:val="24"/>
          <w:lang w:val="es-MX"/>
        </w:rPr>
      </w:pPr>
    </w:p>
    <w:p w:rsidR="00A872AE" w:rsidRPr="00B534E1" w:rsidRDefault="007B65EF" w:rsidP="00A872AE">
      <w:p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Para efectos de orden, hemos agrupado dichas observaciones en las siguientes categorías:</w:t>
      </w:r>
    </w:p>
    <w:p w:rsidR="007B65EF" w:rsidRPr="00B534E1" w:rsidRDefault="007B65EF" w:rsidP="00A872AE">
      <w:pPr>
        <w:spacing w:after="0" w:line="240" w:lineRule="auto"/>
        <w:jc w:val="both"/>
        <w:rPr>
          <w:rFonts w:asciiTheme="majorHAnsi" w:hAnsiTheme="majorHAnsi"/>
          <w:sz w:val="24"/>
          <w:szCs w:val="24"/>
          <w:lang w:val="es-MX"/>
        </w:rPr>
      </w:pPr>
    </w:p>
    <w:p w:rsidR="007B65EF" w:rsidRPr="00B534E1" w:rsidRDefault="007B65EF" w:rsidP="007B65EF">
      <w:pPr>
        <w:pStyle w:val="Prrafodelista"/>
        <w:numPr>
          <w:ilvl w:val="0"/>
          <w:numId w:val="4"/>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Exigencias que exceden la ley: En este título se abordan situaciones en las que se plantean exigencias o condiciones que exceden la ley o bien, ésta no las contempla y que se agregan en el reglamento.</w:t>
      </w:r>
    </w:p>
    <w:p w:rsidR="007B65EF" w:rsidRPr="00B534E1" w:rsidRDefault="007B65EF" w:rsidP="007B65EF">
      <w:pPr>
        <w:pStyle w:val="Prrafodelista"/>
        <w:numPr>
          <w:ilvl w:val="0"/>
          <w:numId w:val="4"/>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En este título se plantean consultas acerca de situaciones que requieren aclaración. </w:t>
      </w:r>
    </w:p>
    <w:p w:rsidR="007B65EF" w:rsidRPr="00B534E1" w:rsidRDefault="007B65EF" w:rsidP="007B65EF">
      <w:pPr>
        <w:pStyle w:val="Prrafodelista"/>
        <w:numPr>
          <w:ilvl w:val="0"/>
          <w:numId w:val="4"/>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En este título se plantean consultas acerca del mecanismo de evaluación de las ofertas técnicas</w:t>
      </w:r>
    </w:p>
    <w:p w:rsidR="007B65EF" w:rsidRPr="00B534E1" w:rsidRDefault="007B65EF" w:rsidP="007B65EF">
      <w:pPr>
        <w:pStyle w:val="Prrafodelista"/>
        <w:numPr>
          <w:ilvl w:val="0"/>
          <w:numId w:val="4"/>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Por último, en este título se plantean observaciones acerca modificaciones sustanciales en las condiciones de renovación de un permiso de operación</w:t>
      </w:r>
    </w:p>
    <w:p w:rsidR="007B65EF" w:rsidRPr="00B534E1" w:rsidRDefault="007B65EF" w:rsidP="00A872AE">
      <w:pPr>
        <w:spacing w:after="0" w:line="240" w:lineRule="auto"/>
        <w:jc w:val="both"/>
        <w:rPr>
          <w:rFonts w:asciiTheme="majorHAnsi" w:hAnsiTheme="majorHAnsi"/>
          <w:sz w:val="24"/>
          <w:szCs w:val="24"/>
          <w:lang w:val="es-MX"/>
        </w:rPr>
      </w:pPr>
    </w:p>
    <w:p w:rsidR="00E12C45" w:rsidRPr="00B534E1" w:rsidRDefault="00E12C45" w:rsidP="00E12C45">
      <w:pPr>
        <w:pStyle w:val="Prrafodelista"/>
        <w:numPr>
          <w:ilvl w:val="0"/>
          <w:numId w:val="5"/>
        </w:numPr>
        <w:spacing w:after="0" w:line="240" w:lineRule="auto"/>
        <w:ind w:left="360"/>
        <w:jc w:val="both"/>
        <w:rPr>
          <w:rFonts w:asciiTheme="majorHAnsi" w:hAnsiTheme="majorHAnsi"/>
          <w:sz w:val="24"/>
          <w:szCs w:val="24"/>
          <w:lang w:val="es-MX"/>
        </w:rPr>
      </w:pPr>
      <w:r w:rsidRPr="00B534E1">
        <w:rPr>
          <w:rFonts w:asciiTheme="majorHAnsi" w:hAnsiTheme="majorHAnsi"/>
          <w:b/>
          <w:sz w:val="24"/>
          <w:szCs w:val="24"/>
          <w:lang w:val="es-MX"/>
        </w:rPr>
        <w:t>Exigencias que exceden la ley</w:t>
      </w:r>
      <w:r w:rsidR="00C0100C">
        <w:rPr>
          <w:rFonts w:asciiTheme="majorHAnsi" w:hAnsiTheme="majorHAnsi"/>
          <w:b/>
          <w:sz w:val="24"/>
          <w:szCs w:val="24"/>
          <w:lang w:val="es-MX"/>
        </w:rPr>
        <w:t>.</w:t>
      </w:r>
      <w:r w:rsidR="00B95414" w:rsidRPr="00B534E1">
        <w:rPr>
          <w:rFonts w:asciiTheme="majorHAnsi" w:hAnsiTheme="majorHAnsi"/>
          <w:b/>
          <w:sz w:val="24"/>
          <w:szCs w:val="24"/>
          <w:lang w:val="es-MX"/>
        </w:rPr>
        <w:t xml:space="preserve"> </w:t>
      </w:r>
    </w:p>
    <w:p w:rsidR="007B65EF" w:rsidRPr="00B534E1" w:rsidRDefault="007B65EF" w:rsidP="007B65EF">
      <w:pPr>
        <w:pStyle w:val="Prrafodelista"/>
        <w:spacing w:after="0" w:line="240" w:lineRule="auto"/>
        <w:ind w:left="360"/>
        <w:jc w:val="both"/>
        <w:rPr>
          <w:rFonts w:asciiTheme="majorHAnsi" w:hAnsiTheme="majorHAnsi"/>
          <w:sz w:val="24"/>
          <w:szCs w:val="24"/>
          <w:lang w:val="es-MX"/>
        </w:rPr>
      </w:pPr>
    </w:p>
    <w:p w:rsidR="007B65EF" w:rsidRPr="00B534E1" w:rsidRDefault="009D03E3" w:rsidP="00410A77">
      <w:pPr>
        <w:pStyle w:val="Prrafodelista"/>
        <w:numPr>
          <w:ilvl w:val="1"/>
          <w:numId w:val="1"/>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En</w:t>
      </w:r>
      <w:r w:rsidR="0096085C" w:rsidRPr="00B534E1">
        <w:rPr>
          <w:rFonts w:asciiTheme="majorHAnsi" w:hAnsiTheme="majorHAnsi"/>
          <w:sz w:val="24"/>
          <w:szCs w:val="24"/>
          <w:lang w:val="es-MX"/>
        </w:rPr>
        <w:t xml:space="preserve"> el artículo 8</w:t>
      </w:r>
      <w:r w:rsidRPr="00B534E1">
        <w:rPr>
          <w:rFonts w:asciiTheme="majorHAnsi" w:hAnsiTheme="majorHAnsi"/>
          <w:sz w:val="24"/>
          <w:szCs w:val="24"/>
          <w:lang w:val="es-MX"/>
        </w:rPr>
        <w:t xml:space="preserve">, segundo inciso, cuando se define el concepto de proyecto integral, se hace referencia a que se consideran las </w:t>
      </w:r>
      <w:r w:rsidR="00B94C53" w:rsidRPr="00B534E1">
        <w:rPr>
          <w:rFonts w:asciiTheme="majorHAnsi" w:hAnsiTheme="majorHAnsi"/>
          <w:sz w:val="24"/>
          <w:szCs w:val="24"/>
          <w:lang w:val="es-MX"/>
        </w:rPr>
        <w:t>“</w:t>
      </w:r>
      <w:r w:rsidRPr="00B534E1">
        <w:rPr>
          <w:rFonts w:asciiTheme="majorHAnsi" w:hAnsiTheme="majorHAnsi"/>
          <w:sz w:val="24"/>
          <w:szCs w:val="24"/>
          <w:lang w:val="es-MX"/>
        </w:rPr>
        <w:t xml:space="preserve">obras e instalaciones </w:t>
      </w:r>
      <w:r w:rsidRPr="00B534E1">
        <w:rPr>
          <w:rFonts w:asciiTheme="majorHAnsi" w:hAnsiTheme="majorHAnsi"/>
          <w:sz w:val="24"/>
          <w:szCs w:val="24"/>
          <w:u w:val="single"/>
          <w:lang w:val="es-MX"/>
        </w:rPr>
        <w:t>relevantes</w:t>
      </w:r>
      <w:r w:rsidRPr="00B534E1">
        <w:rPr>
          <w:rFonts w:asciiTheme="majorHAnsi" w:hAnsiTheme="majorHAnsi"/>
          <w:sz w:val="24"/>
          <w:szCs w:val="24"/>
          <w:lang w:val="es-MX"/>
        </w:rPr>
        <w:t xml:space="preserve"> para el desarrollo dentro de la comuna”</w:t>
      </w:r>
      <w:r w:rsidR="007B65EF" w:rsidRPr="00B534E1">
        <w:rPr>
          <w:rFonts w:asciiTheme="majorHAnsi" w:hAnsiTheme="majorHAnsi"/>
          <w:sz w:val="24"/>
          <w:szCs w:val="24"/>
          <w:lang w:val="es-MX"/>
        </w:rPr>
        <w:t>, s</w:t>
      </w:r>
      <w:r w:rsidRPr="00B534E1">
        <w:rPr>
          <w:rFonts w:asciiTheme="majorHAnsi" w:hAnsiTheme="majorHAnsi"/>
          <w:sz w:val="24"/>
          <w:szCs w:val="24"/>
          <w:lang w:val="es-MX"/>
        </w:rPr>
        <w:t xml:space="preserve">in que se defina qué se entenderá por </w:t>
      </w:r>
      <w:r w:rsidR="00C0100C">
        <w:rPr>
          <w:rFonts w:asciiTheme="majorHAnsi" w:hAnsiTheme="majorHAnsi"/>
          <w:sz w:val="24"/>
          <w:szCs w:val="24"/>
          <w:lang w:val="es-MX"/>
        </w:rPr>
        <w:t xml:space="preserve">obras e instalaciones </w:t>
      </w:r>
      <w:r w:rsidR="007B65EF" w:rsidRPr="00B534E1">
        <w:rPr>
          <w:rFonts w:asciiTheme="majorHAnsi" w:hAnsiTheme="majorHAnsi"/>
          <w:sz w:val="24"/>
          <w:szCs w:val="24"/>
          <w:lang w:val="es-MX"/>
        </w:rPr>
        <w:t>“</w:t>
      </w:r>
      <w:r w:rsidRPr="00B534E1">
        <w:rPr>
          <w:rFonts w:asciiTheme="majorHAnsi" w:hAnsiTheme="majorHAnsi"/>
          <w:sz w:val="24"/>
          <w:szCs w:val="24"/>
          <w:lang w:val="es-MX"/>
        </w:rPr>
        <w:t>relevante</w:t>
      </w:r>
      <w:r w:rsidR="007B65EF" w:rsidRPr="00B534E1">
        <w:rPr>
          <w:rFonts w:asciiTheme="majorHAnsi" w:hAnsiTheme="majorHAnsi"/>
          <w:sz w:val="24"/>
          <w:szCs w:val="24"/>
          <w:lang w:val="es-MX"/>
        </w:rPr>
        <w:t>s”</w:t>
      </w:r>
      <w:r w:rsidRPr="00B534E1">
        <w:rPr>
          <w:rFonts w:asciiTheme="majorHAnsi" w:hAnsiTheme="majorHAnsi"/>
          <w:sz w:val="24"/>
          <w:szCs w:val="24"/>
          <w:lang w:val="es-MX"/>
        </w:rPr>
        <w:t xml:space="preserve">. </w:t>
      </w:r>
    </w:p>
    <w:p w:rsidR="004A7153" w:rsidRPr="00B534E1" w:rsidRDefault="004A7153" w:rsidP="007B65EF">
      <w:pPr>
        <w:pStyle w:val="Prrafodelista"/>
        <w:spacing w:after="0" w:line="240" w:lineRule="auto"/>
        <w:ind w:left="1080"/>
        <w:jc w:val="both"/>
        <w:rPr>
          <w:rFonts w:asciiTheme="majorHAnsi" w:hAnsiTheme="majorHAnsi"/>
          <w:sz w:val="24"/>
          <w:szCs w:val="24"/>
          <w:lang w:val="es-MX"/>
        </w:rPr>
      </w:pPr>
    </w:p>
    <w:p w:rsidR="00410A77" w:rsidRDefault="007B65EF" w:rsidP="007B65EF">
      <w:pPr>
        <w:pStyle w:val="Prrafodelista"/>
        <w:spacing w:after="0" w:line="240" w:lineRule="auto"/>
        <w:ind w:left="1080"/>
        <w:jc w:val="both"/>
        <w:rPr>
          <w:rFonts w:asciiTheme="majorHAnsi" w:hAnsiTheme="majorHAnsi"/>
          <w:sz w:val="24"/>
          <w:szCs w:val="24"/>
          <w:lang w:val="es-MX"/>
        </w:rPr>
      </w:pPr>
      <w:r w:rsidRPr="00B534E1">
        <w:rPr>
          <w:rFonts w:asciiTheme="majorHAnsi" w:hAnsiTheme="majorHAnsi"/>
          <w:sz w:val="24"/>
          <w:szCs w:val="24"/>
          <w:lang w:val="es-MX"/>
        </w:rPr>
        <w:t xml:space="preserve">Así las cosas, en el reglamento se estaría </w:t>
      </w:r>
      <w:r w:rsidR="00B95414" w:rsidRPr="00B534E1">
        <w:rPr>
          <w:rFonts w:asciiTheme="majorHAnsi" w:hAnsiTheme="majorHAnsi"/>
          <w:sz w:val="24"/>
          <w:szCs w:val="24"/>
          <w:lang w:val="es-MX"/>
        </w:rPr>
        <w:t>agrega</w:t>
      </w:r>
      <w:r w:rsidRPr="00B534E1">
        <w:rPr>
          <w:rFonts w:asciiTheme="majorHAnsi" w:hAnsiTheme="majorHAnsi"/>
          <w:sz w:val="24"/>
          <w:szCs w:val="24"/>
          <w:lang w:val="es-MX"/>
        </w:rPr>
        <w:t>ndo</w:t>
      </w:r>
      <w:r w:rsidR="00B95414" w:rsidRPr="00B534E1">
        <w:rPr>
          <w:rFonts w:asciiTheme="majorHAnsi" w:hAnsiTheme="majorHAnsi"/>
          <w:sz w:val="24"/>
          <w:szCs w:val="24"/>
          <w:lang w:val="es-MX"/>
        </w:rPr>
        <w:t xml:space="preserve"> una exigencia a las obras </w:t>
      </w:r>
      <w:r w:rsidR="00C0100C">
        <w:rPr>
          <w:rFonts w:asciiTheme="majorHAnsi" w:hAnsiTheme="majorHAnsi"/>
          <w:sz w:val="24"/>
          <w:szCs w:val="24"/>
          <w:lang w:val="es-MX"/>
        </w:rPr>
        <w:t xml:space="preserve">e instalaciones </w:t>
      </w:r>
      <w:r w:rsidR="00B95414" w:rsidRPr="00B534E1">
        <w:rPr>
          <w:rFonts w:asciiTheme="majorHAnsi" w:hAnsiTheme="majorHAnsi"/>
          <w:sz w:val="24"/>
          <w:szCs w:val="24"/>
          <w:lang w:val="es-MX"/>
        </w:rPr>
        <w:t>que co</w:t>
      </w:r>
      <w:r w:rsidR="003A1A22" w:rsidRPr="00B534E1">
        <w:rPr>
          <w:rFonts w:asciiTheme="majorHAnsi" w:hAnsiTheme="majorHAnsi"/>
          <w:sz w:val="24"/>
          <w:szCs w:val="24"/>
          <w:lang w:val="es-MX"/>
        </w:rPr>
        <w:t>mprende</w:t>
      </w:r>
      <w:r w:rsidR="00B95414" w:rsidRPr="00B534E1">
        <w:rPr>
          <w:rFonts w:asciiTheme="majorHAnsi" w:hAnsiTheme="majorHAnsi"/>
          <w:sz w:val="24"/>
          <w:szCs w:val="24"/>
          <w:lang w:val="es-MX"/>
        </w:rPr>
        <w:t xml:space="preserve"> el proyecto integral propuesto</w:t>
      </w:r>
      <w:r w:rsidR="004A7153" w:rsidRPr="00B534E1">
        <w:rPr>
          <w:rFonts w:asciiTheme="majorHAnsi" w:hAnsiTheme="majorHAnsi"/>
          <w:sz w:val="24"/>
          <w:szCs w:val="24"/>
          <w:lang w:val="es-MX"/>
        </w:rPr>
        <w:t>: la característica de “relevantes”</w:t>
      </w:r>
      <w:r w:rsidR="00B95414" w:rsidRPr="00B534E1">
        <w:rPr>
          <w:rFonts w:asciiTheme="majorHAnsi" w:hAnsiTheme="majorHAnsi"/>
          <w:sz w:val="24"/>
          <w:szCs w:val="24"/>
          <w:lang w:val="es-MX"/>
        </w:rPr>
        <w:t>. Además, se</w:t>
      </w:r>
      <w:r w:rsidR="009D03E3" w:rsidRPr="00B534E1">
        <w:rPr>
          <w:rFonts w:asciiTheme="majorHAnsi" w:hAnsiTheme="majorHAnsi"/>
          <w:sz w:val="24"/>
          <w:szCs w:val="24"/>
          <w:lang w:val="es-MX"/>
        </w:rPr>
        <w:t xml:space="preserve"> </w:t>
      </w:r>
      <w:r w:rsidR="004A7153" w:rsidRPr="00B534E1">
        <w:rPr>
          <w:rFonts w:asciiTheme="majorHAnsi" w:hAnsiTheme="majorHAnsi"/>
          <w:sz w:val="24"/>
          <w:szCs w:val="24"/>
          <w:lang w:val="es-MX"/>
        </w:rPr>
        <w:t xml:space="preserve">entrega </w:t>
      </w:r>
      <w:r w:rsidR="009D03E3" w:rsidRPr="00B534E1">
        <w:rPr>
          <w:rFonts w:asciiTheme="majorHAnsi" w:hAnsiTheme="majorHAnsi"/>
          <w:sz w:val="24"/>
          <w:szCs w:val="24"/>
          <w:lang w:val="es-MX"/>
        </w:rPr>
        <w:t xml:space="preserve">a </w:t>
      </w:r>
      <w:r w:rsidR="00B95414" w:rsidRPr="00B534E1">
        <w:rPr>
          <w:rFonts w:asciiTheme="majorHAnsi" w:hAnsiTheme="majorHAnsi"/>
          <w:sz w:val="24"/>
          <w:szCs w:val="24"/>
          <w:lang w:val="es-MX"/>
        </w:rPr>
        <w:t xml:space="preserve">la </w:t>
      </w:r>
      <w:r w:rsidR="009D03E3" w:rsidRPr="00B534E1">
        <w:rPr>
          <w:rFonts w:asciiTheme="majorHAnsi" w:hAnsiTheme="majorHAnsi"/>
          <w:sz w:val="24"/>
          <w:szCs w:val="24"/>
          <w:lang w:val="es-MX"/>
        </w:rPr>
        <w:t>inter</w:t>
      </w:r>
      <w:r w:rsidR="00AC76CD">
        <w:rPr>
          <w:rFonts w:asciiTheme="majorHAnsi" w:hAnsiTheme="majorHAnsi"/>
          <w:sz w:val="24"/>
          <w:szCs w:val="24"/>
          <w:lang w:val="es-MX"/>
        </w:rPr>
        <w:t>pretación</w:t>
      </w:r>
      <w:r w:rsidR="009D03E3" w:rsidRPr="00B534E1">
        <w:rPr>
          <w:rFonts w:asciiTheme="majorHAnsi" w:hAnsiTheme="majorHAnsi"/>
          <w:sz w:val="24"/>
          <w:szCs w:val="24"/>
          <w:lang w:val="es-MX"/>
        </w:rPr>
        <w:t xml:space="preserve"> </w:t>
      </w:r>
      <w:r w:rsidR="004A7153" w:rsidRPr="00B534E1">
        <w:rPr>
          <w:rFonts w:asciiTheme="majorHAnsi" w:hAnsiTheme="majorHAnsi"/>
          <w:sz w:val="24"/>
          <w:szCs w:val="24"/>
          <w:lang w:val="es-MX"/>
        </w:rPr>
        <w:t xml:space="preserve">la definición </w:t>
      </w:r>
      <w:r w:rsidR="00B95414" w:rsidRPr="00B534E1">
        <w:rPr>
          <w:rFonts w:asciiTheme="majorHAnsi" w:hAnsiTheme="majorHAnsi"/>
          <w:sz w:val="24"/>
          <w:szCs w:val="24"/>
          <w:lang w:val="es-MX"/>
        </w:rPr>
        <w:t xml:space="preserve">de </w:t>
      </w:r>
      <w:r w:rsidR="009D03E3" w:rsidRPr="00B534E1">
        <w:rPr>
          <w:rFonts w:asciiTheme="majorHAnsi" w:hAnsiTheme="majorHAnsi"/>
          <w:sz w:val="24"/>
          <w:szCs w:val="24"/>
          <w:lang w:val="es-MX"/>
        </w:rPr>
        <w:t xml:space="preserve">qué obras </w:t>
      </w:r>
      <w:r w:rsidR="00490F48" w:rsidRPr="00490F48">
        <w:rPr>
          <w:rFonts w:asciiTheme="majorHAnsi" w:hAnsiTheme="majorHAnsi"/>
          <w:sz w:val="24"/>
          <w:szCs w:val="24"/>
          <w:lang w:val="es-MX"/>
        </w:rPr>
        <w:t>serán consideradas “relevantes”</w:t>
      </w:r>
      <w:r w:rsidR="00490F48">
        <w:rPr>
          <w:rFonts w:asciiTheme="majorHAnsi" w:hAnsiTheme="majorHAnsi"/>
          <w:sz w:val="24"/>
          <w:szCs w:val="24"/>
          <w:lang w:val="es-MX"/>
        </w:rPr>
        <w:t xml:space="preserve"> para efectos </w:t>
      </w:r>
      <w:r w:rsidR="009D03E3" w:rsidRPr="00B534E1">
        <w:rPr>
          <w:rFonts w:asciiTheme="majorHAnsi" w:hAnsiTheme="majorHAnsi"/>
          <w:sz w:val="24"/>
          <w:szCs w:val="24"/>
          <w:lang w:val="es-MX"/>
        </w:rPr>
        <w:t>del proyecto integral</w:t>
      </w:r>
      <w:r w:rsidR="00B95414" w:rsidRPr="00B534E1">
        <w:rPr>
          <w:rFonts w:asciiTheme="majorHAnsi" w:hAnsiTheme="majorHAnsi"/>
          <w:sz w:val="24"/>
          <w:szCs w:val="24"/>
          <w:lang w:val="es-MX"/>
        </w:rPr>
        <w:t>. A</w:t>
      </w:r>
      <w:r w:rsidR="009D03E3" w:rsidRPr="00B534E1">
        <w:rPr>
          <w:rFonts w:asciiTheme="majorHAnsi" w:hAnsiTheme="majorHAnsi"/>
          <w:sz w:val="24"/>
          <w:szCs w:val="24"/>
          <w:lang w:val="es-MX"/>
        </w:rPr>
        <w:t>fectando</w:t>
      </w:r>
      <w:r w:rsidR="00B95414" w:rsidRPr="00B534E1">
        <w:rPr>
          <w:rFonts w:asciiTheme="majorHAnsi" w:hAnsiTheme="majorHAnsi"/>
          <w:sz w:val="24"/>
          <w:szCs w:val="24"/>
          <w:lang w:val="es-MX"/>
        </w:rPr>
        <w:t>,</w:t>
      </w:r>
      <w:r w:rsidR="009D03E3" w:rsidRPr="00B534E1">
        <w:rPr>
          <w:rFonts w:asciiTheme="majorHAnsi" w:hAnsiTheme="majorHAnsi"/>
          <w:sz w:val="24"/>
          <w:szCs w:val="24"/>
          <w:lang w:val="es-MX"/>
        </w:rPr>
        <w:t xml:space="preserve"> </w:t>
      </w:r>
      <w:r w:rsidR="00FD6E45" w:rsidRPr="00B534E1">
        <w:rPr>
          <w:rFonts w:asciiTheme="majorHAnsi" w:hAnsiTheme="majorHAnsi"/>
          <w:sz w:val="24"/>
          <w:szCs w:val="24"/>
          <w:lang w:val="es-MX"/>
        </w:rPr>
        <w:t xml:space="preserve">en consecuencia, </w:t>
      </w:r>
      <w:r w:rsidR="009D03E3" w:rsidRPr="00B534E1">
        <w:rPr>
          <w:rFonts w:asciiTheme="majorHAnsi" w:hAnsiTheme="majorHAnsi"/>
          <w:sz w:val="24"/>
          <w:szCs w:val="24"/>
          <w:lang w:val="es-MX"/>
        </w:rPr>
        <w:t>el monto de inversión y</w:t>
      </w:r>
      <w:r w:rsidR="009C7BDC" w:rsidRPr="00B534E1">
        <w:rPr>
          <w:rFonts w:asciiTheme="majorHAnsi" w:hAnsiTheme="majorHAnsi"/>
          <w:sz w:val="24"/>
          <w:szCs w:val="24"/>
          <w:lang w:val="es-MX"/>
        </w:rPr>
        <w:t xml:space="preserve">, por ende, </w:t>
      </w:r>
      <w:r w:rsidR="009D03E3" w:rsidRPr="00B534E1">
        <w:rPr>
          <w:rFonts w:asciiTheme="majorHAnsi" w:hAnsiTheme="majorHAnsi"/>
          <w:sz w:val="24"/>
          <w:szCs w:val="24"/>
          <w:lang w:val="es-MX"/>
        </w:rPr>
        <w:t xml:space="preserve"> la evaluación del proyecto.</w:t>
      </w:r>
    </w:p>
    <w:p w:rsidR="00C0100C" w:rsidRDefault="00C0100C" w:rsidP="007B65EF">
      <w:pPr>
        <w:pStyle w:val="Prrafodelista"/>
        <w:spacing w:after="0" w:line="240" w:lineRule="auto"/>
        <w:ind w:left="1080"/>
        <w:jc w:val="both"/>
        <w:rPr>
          <w:rFonts w:asciiTheme="majorHAnsi" w:hAnsiTheme="majorHAnsi"/>
          <w:sz w:val="24"/>
          <w:szCs w:val="24"/>
          <w:lang w:val="es-MX"/>
        </w:rPr>
      </w:pPr>
    </w:p>
    <w:p w:rsidR="00C0100C" w:rsidRPr="00B534E1" w:rsidRDefault="00C0100C" w:rsidP="007B65EF">
      <w:pPr>
        <w:pStyle w:val="Prrafodelista"/>
        <w:spacing w:after="0" w:line="240" w:lineRule="auto"/>
        <w:ind w:left="1080"/>
        <w:jc w:val="both"/>
        <w:rPr>
          <w:rFonts w:asciiTheme="majorHAnsi" w:hAnsiTheme="majorHAnsi"/>
          <w:sz w:val="24"/>
          <w:szCs w:val="24"/>
          <w:lang w:val="es-MX"/>
        </w:rPr>
      </w:pPr>
      <w:r>
        <w:rPr>
          <w:rFonts w:asciiTheme="majorHAnsi" w:hAnsiTheme="majorHAnsi"/>
          <w:sz w:val="24"/>
          <w:szCs w:val="24"/>
          <w:lang w:val="es-MX"/>
        </w:rPr>
        <w:t xml:space="preserve">Por lo tanto, se propone eliminar la palabra “relevantes” de este artículo o definir ex ante qué se entenderá por obras e instalaciones “relevantes” para el desarrollo dentro de la comuna.  </w:t>
      </w:r>
    </w:p>
    <w:p w:rsidR="00410A77" w:rsidRPr="00B534E1" w:rsidRDefault="00410A77" w:rsidP="00410A77">
      <w:pPr>
        <w:pStyle w:val="Prrafodelista"/>
        <w:spacing w:after="0" w:line="240" w:lineRule="auto"/>
        <w:ind w:left="1080"/>
        <w:jc w:val="both"/>
        <w:rPr>
          <w:rFonts w:asciiTheme="majorHAnsi" w:hAnsiTheme="majorHAnsi"/>
          <w:sz w:val="24"/>
          <w:szCs w:val="24"/>
          <w:lang w:val="es-MX"/>
        </w:rPr>
      </w:pPr>
    </w:p>
    <w:p w:rsidR="00C0100C" w:rsidRPr="00C0100C" w:rsidRDefault="00410A77" w:rsidP="00C0100C">
      <w:pPr>
        <w:pStyle w:val="Prrafodelista"/>
        <w:numPr>
          <w:ilvl w:val="1"/>
          <w:numId w:val="1"/>
        </w:numPr>
        <w:spacing w:after="0" w:line="240" w:lineRule="auto"/>
        <w:jc w:val="both"/>
        <w:rPr>
          <w:rFonts w:asciiTheme="majorHAnsi" w:hAnsiTheme="majorHAnsi"/>
          <w:sz w:val="24"/>
          <w:szCs w:val="24"/>
          <w:lang w:val="es-MX"/>
        </w:rPr>
      </w:pPr>
      <w:r w:rsidRPr="00C0100C">
        <w:rPr>
          <w:rFonts w:asciiTheme="majorHAnsi" w:hAnsiTheme="majorHAnsi"/>
          <w:sz w:val="24"/>
          <w:szCs w:val="24"/>
          <w:lang w:val="es-MX"/>
        </w:rPr>
        <w:lastRenderedPageBreak/>
        <w:t xml:space="preserve">En el artículo 22 </w:t>
      </w:r>
      <w:r w:rsidR="00146449" w:rsidRPr="00C0100C">
        <w:rPr>
          <w:rFonts w:asciiTheme="majorHAnsi" w:hAnsiTheme="majorHAnsi"/>
          <w:sz w:val="24"/>
          <w:szCs w:val="24"/>
          <w:lang w:val="es-MX"/>
        </w:rPr>
        <w:t>se extiende un cargo para la sociedad operadora de 1.000 UTM</w:t>
      </w:r>
      <w:r w:rsidR="00A23F69" w:rsidRPr="00B534E1">
        <w:rPr>
          <w:rStyle w:val="Refdenotaalpie"/>
          <w:rFonts w:asciiTheme="majorHAnsi" w:hAnsiTheme="majorHAnsi"/>
          <w:sz w:val="24"/>
          <w:szCs w:val="24"/>
          <w:lang w:val="es-MX"/>
        </w:rPr>
        <w:footnoteReference w:id="1"/>
      </w:r>
      <w:r w:rsidR="00234784" w:rsidRPr="00C0100C">
        <w:rPr>
          <w:rFonts w:asciiTheme="majorHAnsi" w:hAnsiTheme="majorHAnsi"/>
          <w:sz w:val="24"/>
          <w:szCs w:val="24"/>
          <w:lang w:val="es-MX"/>
        </w:rPr>
        <w:t>,</w:t>
      </w:r>
      <w:r w:rsidR="00146449" w:rsidRPr="00C0100C">
        <w:rPr>
          <w:rFonts w:asciiTheme="majorHAnsi" w:hAnsiTheme="majorHAnsi"/>
          <w:sz w:val="24"/>
          <w:szCs w:val="24"/>
          <w:lang w:val="es-MX"/>
        </w:rPr>
        <w:t xml:space="preserve"> para que la SCJ analice las modificaciones en la composición accionaria de la sociedad. </w:t>
      </w:r>
      <w:r w:rsidR="004A7153" w:rsidRPr="00C0100C">
        <w:rPr>
          <w:rFonts w:asciiTheme="majorHAnsi" w:hAnsiTheme="majorHAnsi"/>
          <w:sz w:val="24"/>
          <w:szCs w:val="24"/>
          <w:lang w:val="es-MX"/>
        </w:rPr>
        <w:t>E</w:t>
      </w:r>
      <w:r w:rsidR="00146449" w:rsidRPr="00C0100C">
        <w:rPr>
          <w:rFonts w:asciiTheme="majorHAnsi" w:hAnsiTheme="majorHAnsi"/>
          <w:sz w:val="24"/>
          <w:szCs w:val="24"/>
          <w:lang w:val="es-MX"/>
        </w:rPr>
        <w:t>sta exigencia no está estipulada en la ley</w:t>
      </w:r>
      <w:r w:rsidR="004A7153" w:rsidRPr="00C0100C">
        <w:rPr>
          <w:rFonts w:asciiTheme="majorHAnsi" w:hAnsiTheme="majorHAnsi"/>
          <w:sz w:val="24"/>
          <w:szCs w:val="24"/>
          <w:lang w:val="es-MX"/>
        </w:rPr>
        <w:t xml:space="preserve"> y c</w:t>
      </w:r>
      <w:r w:rsidR="00234784" w:rsidRPr="00C0100C">
        <w:rPr>
          <w:rFonts w:asciiTheme="majorHAnsi" w:hAnsiTheme="majorHAnsi"/>
          <w:sz w:val="24"/>
          <w:szCs w:val="24"/>
          <w:lang w:val="es-MX"/>
        </w:rPr>
        <w:t>laramente resulta excesiv</w:t>
      </w:r>
      <w:r w:rsidR="004A7153" w:rsidRPr="00C0100C">
        <w:rPr>
          <w:rFonts w:asciiTheme="majorHAnsi" w:hAnsiTheme="majorHAnsi"/>
          <w:sz w:val="24"/>
          <w:szCs w:val="24"/>
          <w:lang w:val="es-MX"/>
        </w:rPr>
        <w:t>a su aplicación práctica</w:t>
      </w:r>
      <w:r w:rsidR="00234784" w:rsidRPr="00C0100C">
        <w:rPr>
          <w:rFonts w:asciiTheme="majorHAnsi" w:hAnsiTheme="majorHAnsi"/>
          <w:sz w:val="24"/>
          <w:szCs w:val="24"/>
          <w:lang w:val="es-MX"/>
        </w:rPr>
        <w:t xml:space="preserve">, ya que la sociedad debería asumir un costo </w:t>
      </w:r>
      <w:r w:rsidR="00EA596A" w:rsidRPr="00C0100C">
        <w:rPr>
          <w:rFonts w:asciiTheme="majorHAnsi" w:hAnsiTheme="majorHAnsi"/>
          <w:sz w:val="24"/>
          <w:szCs w:val="24"/>
          <w:lang w:val="es-MX"/>
        </w:rPr>
        <w:t xml:space="preserve">económico </w:t>
      </w:r>
      <w:r w:rsidR="00234784" w:rsidRPr="00C0100C">
        <w:rPr>
          <w:rFonts w:asciiTheme="majorHAnsi" w:hAnsiTheme="majorHAnsi"/>
          <w:sz w:val="24"/>
          <w:szCs w:val="24"/>
          <w:lang w:val="es-MX"/>
        </w:rPr>
        <w:t>elevado</w:t>
      </w:r>
      <w:r w:rsidR="00EA596A" w:rsidRPr="00C0100C">
        <w:rPr>
          <w:rFonts w:asciiTheme="majorHAnsi" w:hAnsiTheme="majorHAnsi"/>
          <w:sz w:val="24"/>
          <w:szCs w:val="24"/>
          <w:lang w:val="es-MX"/>
        </w:rPr>
        <w:t>,</w:t>
      </w:r>
      <w:r w:rsidR="00234784" w:rsidRPr="00C0100C">
        <w:rPr>
          <w:rFonts w:asciiTheme="majorHAnsi" w:hAnsiTheme="majorHAnsi"/>
          <w:sz w:val="24"/>
          <w:szCs w:val="24"/>
          <w:lang w:val="es-MX"/>
        </w:rPr>
        <w:t xml:space="preserve"> por ejemplo, si uno de </w:t>
      </w:r>
      <w:r w:rsidR="00C0100C" w:rsidRPr="00C0100C">
        <w:rPr>
          <w:rFonts w:asciiTheme="majorHAnsi" w:hAnsiTheme="majorHAnsi"/>
          <w:sz w:val="24"/>
          <w:szCs w:val="24"/>
          <w:lang w:val="es-MX"/>
        </w:rPr>
        <w:t xml:space="preserve">sus </w:t>
      </w:r>
      <w:r w:rsidR="00234784" w:rsidRPr="00C0100C">
        <w:rPr>
          <w:rFonts w:asciiTheme="majorHAnsi" w:hAnsiTheme="majorHAnsi"/>
          <w:sz w:val="24"/>
          <w:szCs w:val="24"/>
          <w:lang w:val="es-MX"/>
        </w:rPr>
        <w:t>accionistas aumenta su participación en la sociedad</w:t>
      </w:r>
      <w:r w:rsidR="004A7153" w:rsidRPr="00C0100C">
        <w:rPr>
          <w:rFonts w:asciiTheme="majorHAnsi" w:hAnsiTheme="majorHAnsi"/>
          <w:sz w:val="24"/>
          <w:szCs w:val="24"/>
          <w:lang w:val="es-MX"/>
        </w:rPr>
        <w:t xml:space="preserve">, situación en la cual no se justifica que se “cobre” </w:t>
      </w:r>
      <w:r w:rsidR="00C0100C" w:rsidRPr="00C0100C">
        <w:rPr>
          <w:rFonts w:asciiTheme="majorHAnsi" w:hAnsiTheme="majorHAnsi"/>
          <w:sz w:val="24"/>
          <w:szCs w:val="24"/>
          <w:lang w:val="es-MX"/>
        </w:rPr>
        <w:t xml:space="preserve">igual que cuando se hace por primera vez la precalificación </w:t>
      </w:r>
      <w:r w:rsidR="004A7153" w:rsidRPr="00C0100C">
        <w:rPr>
          <w:rFonts w:asciiTheme="majorHAnsi" w:hAnsiTheme="majorHAnsi"/>
          <w:sz w:val="24"/>
          <w:szCs w:val="24"/>
          <w:lang w:val="es-MX"/>
        </w:rPr>
        <w:t>de un accionista totalmente nuevo</w:t>
      </w:r>
      <w:r w:rsidR="00234784" w:rsidRPr="00C0100C">
        <w:rPr>
          <w:rFonts w:asciiTheme="majorHAnsi" w:hAnsiTheme="majorHAnsi"/>
          <w:sz w:val="24"/>
          <w:szCs w:val="24"/>
          <w:lang w:val="es-MX"/>
        </w:rPr>
        <w:t>.</w:t>
      </w:r>
      <w:r w:rsidR="00C0100C">
        <w:rPr>
          <w:rFonts w:asciiTheme="majorHAnsi" w:hAnsiTheme="majorHAnsi"/>
          <w:sz w:val="24"/>
          <w:szCs w:val="24"/>
          <w:lang w:val="es-MX"/>
        </w:rPr>
        <w:t xml:space="preserve"> </w:t>
      </w:r>
      <w:r w:rsidR="00C0100C" w:rsidRPr="00C0100C">
        <w:rPr>
          <w:rFonts w:asciiTheme="majorHAnsi" w:hAnsiTheme="majorHAnsi"/>
          <w:sz w:val="24"/>
          <w:szCs w:val="24"/>
          <w:lang w:val="es-MX"/>
        </w:rPr>
        <w:t xml:space="preserve">Atendido lo anterior, se propone eliminar un “cobro” que </w:t>
      </w:r>
      <w:r w:rsidR="00C0100C">
        <w:rPr>
          <w:rFonts w:asciiTheme="majorHAnsi" w:hAnsiTheme="majorHAnsi"/>
          <w:sz w:val="24"/>
          <w:szCs w:val="24"/>
          <w:lang w:val="es-MX"/>
        </w:rPr>
        <w:t>es ilegal al no estar contemplado en la L</w:t>
      </w:r>
      <w:r w:rsidR="00C0100C" w:rsidRPr="00C0100C">
        <w:rPr>
          <w:rFonts w:asciiTheme="majorHAnsi" w:hAnsiTheme="majorHAnsi"/>
          <w:sz w:val="24"/>
          <w:szCs w:val="24"/>
          <w:lang w:val="es-MX"/>
        </w:rPr>
        <w:t xml:space="preserve">ey </w:t>
      </w:r>
      <w:r w:rsidR="00C0100C">
        <w:rPr>
          <w:rFonts w:asciiTheme="majorHAnsi" w:hAnsiTheme="majorHAnsi"/>
          <w:sz w:val="24"/>
          <w:szCs w:val="24"/>
          <w:lang w:val="es-MX"/>
        </w:rPr>
        <w:t>° 19.995.</w:t>
      </w:r>
      <w:r w:rsidR="00C0100C" w:rsidRPr="00C0100C">
        <w:rPr>
          <w:rFonts w:asciiTheme="majorHAnsi" w:hAnsiTheme="majorHAnsi"/>
          <w:sz w:val="24"/>
          <w:szCs w:val="24"/>
          <w:lang w:val="es-MX"/>
        </w:rPr>
        <w:t xml:space="preserve"> </w:t>
      </w:r>
    </w:p>
    <w:p w:rsidR="00146449" w:rsidRPr="00B534E1" w:rsidRDefault="00146449" w:rsidP="00146449">
      <w:pPr>
        <w:pStyle w:val="Prrafodelista"/>
        <w:rPr>
          <w:rFonts w:asciiTheme="majorHAnsi" w:hAnsiTheme="majorHAnsi"/>
          <w:sz w:val="24"/>
          <w:szCs w:val="24"/>
          <w:lang w:val="es-MX"/>
        </w:rPr>
      </w:pPr>
    </w:p>
    <w:p w:rsidR="00C0100C" w:rsidRDefault="00C0100C" w:rsidP="00DB3DBC">
      <w:pPr>
        <w:pStyle w:val="Prrafodelista"/>
        <w:numPr>
          <w:ilvl w:val="1"/>
          <w:numId w:val="1"/>
        </w:numPr>
        <w:spacing w:after="0" w:line="240" w:lineRule="auto"/>
        <w:jc w:val="both"/>
        <w:rPr>
          <w:rFonts w:asciiTheme="majorHAnsi" w:hAnsiTheme="majorHAnsi"/>
          <w:sz w:val="24"/>
          <w:szCs w:val="24"/>
          <w:lang w:val="es-MX"/>
        </w:rPr>
      </w:pPr>
      <w:r>
        <w:rPr>
          <w:rFonts w:asciiTheme="majorHAnsi" w:hAnsiTheme="majorHAnsi"/>
          <w:sz w:val="24"/>
          <w:szCs w:val="24"/>
          <w:lang w:val="es-MX"/>
        </w:rPr>
        <w:t>Además, e</w:t>
      </w:r>
      <w:r w:rsidR="00146449" w:rsidRPr="00B534E1">
        <w:rPr>
          <w:rFonts w:asciiTheme="majorHAnsi" w:hAnsiTheme="majorHAnsi"/>
          <w:sz w:val="24"/>
          <w:szCs w:val="24"/>
          <w:lang w:val="es-MX"/>
        </w:rPr>
        <w:t xml:space="preserve">n el referido artículo 22 </w:t>
      </w:r>
      <w:r w:rsidR="00410A77" w:rsidRPr="00B534E1">
        <w:rPr>
          <w:rFonts w:asciiTheme="majorHAnsi" w:hAnsiTheme="majorHAnsi"/>
          <w:sz w:val="24"/>
          <w:szCs w:val="24"/>
          <w:lang w:val="es-MX"/>
        </w:rPr>
        <w:t xml:space="preserve">se </w:t>
      </w:r>
      <w:r>
        <w:rPr>
          <w:rFonts w:asciiTheme="majorHAnsi" w:hAnsiTheme="majorHAnsi"/>
          <w:sz w:val="24"/>
          <w:szCs w:val="24"/>
          <w:lang w:val="es-MX"/>
        </w:rPr>
        <w:t xml:space="preserve">contempla </w:t>
      </w:r>
      <w:r w:rsidR="00410A77" w:rsidRPr="00B534E1">
        <w:rPr>
          <w:rFonts w:asciiTheme="majorHAnsi" w:hAnsiTheme="majorHAnsi"/>
          <w:sz w:val="24"/>
          <w:szCs w:val="24"/>
          <w:lang w:val="es-MX"/>
        </w:rPr>
        <w:t>la exigencia de que la S</w:t>
      </w:r>
      <w:r>
        <w:rPr>
          <w:rFonts w:asciiTheme="majorHAnsi" w:hAnsiTheme="majorHAnsi"/>
          <w:sz w:val="24"/>
          <w:szCs w:val="24"/>
          <w:lang w:val="es-MX"/>
        </w:rPr>
        <w:t xml:space="preserve">uperintendencia deba </w:t>
      </w:r>
      <w:r w:rsidR="00410A77" w:rsidRPr="00DB3DBC">
        <w:rPr>
          <w:rFonts w:asciiTheme="majorHAnsi" w:hAnsiTheme="majorHAnsi"/>
          <w:sz w:val="24"/>
          <w:szCs w:val="24"/>
          <w:lang w:val="es-MX"/>
        </w:rPr>
        <w:t>autorizar los nombramientos del gerente general y de los directores de la sociedad operadora</w:t>
      </w:r>
      <w:r>
        <w:rPr>
          <w:rFonts w:asciiTheme="majorHAnsi" w:hAnsiTheme="majorHAnsi"/>
          <w:sz w:val="24"/>
          <w:szCs w:val="24"/>
          <w:lang w:val="es-MX"/>
        </w:rPr>
        <w:t xml:space="preserve"> </w:t>
      </w:r>
      <w:r w:rsidRPr="00C0100C">
        <w:rPr>
          <w:rFonts w:asciiTheme="majorHAnsi" w:hAnsiTheme="majorHAnsi"/>
          <w:i/>
          <w:sz w:val="24"/>
          <w:szCs w:val="24"/>
          <w:lang w:val="es-MX"/>
        </w:rPr>
        <w:t>“…en forma previa a la asunción del cargo respectivo”</w:t>
      </w:r>
      <w:r w:rsidR="00410A77" w:rsidRPr="00DB3DBC">
        <w:rPr>
          <w:rFonts w:asciiTheme="majorHAnsi" w:hAnsiTheme="majorHAnsi"/>
          <w:sz w:val="24"/>
          <w:szCs w:val="24"/>
          <w:lang w:val="es-MX"/>
        </w:rPr>
        <w:t>. Es</w:t>
      </w:r>
      <w:r>
        <w:rPr>
          <w:rFonts w:asciiTheme="majorHAnsi" w:hAnsiTheme="majorHAnsi"/>
          <w:sz w:val="24"/>
          <w:szCs w:val="24"/>
          <w:lang w:val="es-MX"/>
        </w:rPr>
        <w:t>ta es</w:t>
      </w:r>
      <w:r w:rsidR="00410A77" w:rsidRPr="00DB3DBC">
        <w:rPr>
          <w:rFonts w:asciiTheme="majorHAnsi" w:hAnsiTheme="majorHAnsi"/>
          <w:sz w:val="24"/>
          <w:szCs w:val="24"/>
          <w:lang w:val="es-MX"/>
        </w:rPr>
        <w:t xml:space="preserve"> una exigencia que no </w:t>
      </w:r>
      <w:r>
        <w:rPr>
          <w:rFonts w:asciiTheme="majorHAnsi" w:hAnsiTheme="majorHAnsi"/>
          <w:sz w:val="24"/>
          <w:szCs w:val="24"/>
          <w:lang w:val="es-MX"/>
        </w:rPr>
        <w:t xml:space="preserve">se encuentra </w:t>
      </w:r>
      <w:r w:rsidR="00410A77" w:rsidRPr="00DB3DBC">
        <w:rPr>
          <w:rFonts w:asciiTheme="majorHAnsi" w:hAnsiTheme="majorHAnsi"/>
          <w:sz w:val="24"/>
          <w:szCs w:val="24"/>
          <w:lang w:val="es-MX"/>
        </w:rPr>
        <w:t xml:space="preserve">establecida en la ley. </w:t>
      </w:r>
    </w:p>
    <w:p w:rsidR="00C0100C" w:rsidRPr="00C0100C" w:rsidRDefault="00C0100C" w:rsidP="00C0100C">
      <w:pPr>
        <w:pStyle w:val="Prrafodelista"/>
        <w:rPr>
          <w:rFonts w:asciiTheme="majorHAnsi" w:hAnsiTheme="majorHAnsi"/>
          <w:sz w:val="24"/>
          <w:szCs w:val="24"/>
          <w:lang w:val="es-MX"/>
        </w:rPr>
      </w:pPr>
    </w:p>
    <w:p w:rsidR="005C23E9" w:rsidRPr="00DB3DBC" w:rsidRDefault="00AC76CD" w:rsidP="00C0100C">
      <w:pPr>
        <w:pStyle w:val="Prrafodelista"/>
        <w:spacing w:after="0" w:line="240" w:lineRule="auto"/>
        <w:ind w:left="1080"/>
        <w:jc w:val="both"/>
        <w:rPr>
          <w:rFonts w:asciiTheme="majorHAnsi" w:hAnsiTheme="majorHAnsi"/>
          <w:sz w:val="24"/>
          <w:szCs w:val="24"/>
          <w:lang w:val="es-MX"/>
        </w:rPr>
      </w:pPr>
      <w:r>
        <w:rPr>
          <w:rFonts w:asciiTheme="majorHAnsi" w:hAnsiTheme="majorHAnsi"/>
          <w:sz w:val="24"/>
          <w:szCs w:val="24"/>
          <w:lang w:val="es-MX"/>
        </w:rPr>
        <w:t xml:space="preserve">Esta norma </w:t>
      </w:r>
      <w:r w:rsidR="00C0100C">
        <w:rPr>
          <w:rFonts w:asciiTheme="majorHAnsi" w:hAnsiTheme="majorHAnsi"/>
          <w:sz w:val="24"/>
          <w:szCs w:val="24"/>
          <w:lang w:val="es-MX"/>
        </w:rPr>
        <w:t>establece requisitos y exigencias que la ley no contempla</w:t>
      </w:r>
      <w:r>
        <w:rPr>
          <w:rFonts w:asciiTheme="majorHAnsi" w:hAnsiTheme="majorHAnsi"/>
          <w:sz w:val="24"/>
          <w:szCs w:val="24"/>
          <w:lang w:val="es-MX"/>
        </w:rPr>
        <w:t>,</w:t>
      </w:r>
      <w:r w:rsidR="00C0100C">
        <w:rPr>
          <w:rFonts w:asciiTheme="majorHAnsi" w:hAnsiTheme="majorHAnsi"/>
          <w:sz w:val="24"/>
          <w:szCs w:val="24"/>
          <w:lang w:val="es-MX"/>
        </w:rPr>
        <w:t xml:space="preserve"> no definiéndose tampoco </w:t>
      </w:r>
      <w:r w:rsidR="00C0100C" w:rsidRPr="00C0100C">
        <w:rPr>
          <w:rFonts w:asciiTheme="majorHAnsi" w:hAnsiTheme="majorHAnsi"/>
          <w:sz w:val="24"/>
          <w:szCs w:val="24"/>
          <w:lang w:val="es-MX"/>
        </w:rPr>
        <w:t xml:space="preserve">los requisitos </w:t>
      </w:r>
      <w:r w:rsidR="00C0100C">
        <w:rPr>
          <w:rFonts w:asciiTheme="majorHAnsi" w:hAnsiTheme="majorHAnsi"/>
          <w:sz w:val="24"/>
          <w:szCs w:val="24"/>
          <w:lang w:val="es-MX"/>
        </w:rPr>
        <w:t xml:space="preserve">que deberán cumplir las personas que pretendan asumir dichos cargos. Lo anterior, genera nuevos espacios de indefinición </w:t>
      </w:r>
      <w:r w:rsidR="00C0100C" w:rsidRPr="00C0100C">
        <w:rPr>
          <w:rFonts w:asciiTheme="majorHAnsi" w:hAnsiTheme="majorHAnsi"/>
          <w:sz w:val="24"/>
          <w:szCs w:val="24"/>
          <w:lang w:val="es-MX"/>
        </w:rPr>
        <w:t xml:space="preserve">para </w:t>
      </w:r>
      <w:r w:rsidR="00C0100C">
        <w:rPr>
          <w:rFonts w:asciiTheme="majorHAnsi" w:hAnsiTheme="majorHAnsi"/>
          <w:sz w:val="24"/>
          <w:szCs w:val="24"/>
          <w:lang w:val="es-MX"/>
        </w:rPr>
        <w:t xml:space="preserve">las </w:t>
      </w:r>
      <w:r w:rsidR="004A7153" w:rsidRPr="00DB3DBC">
        <w:rPr>
          <w:rFonts w:asciiTheme="majorHAnsi" w:hAnsiTheme="majorHAnsi"/>
          <w:sz w:val="24"/>
          <w:szCs w:val="24"/>
          <w:lang w:val="es-MX"/>
        </w:rPr>
        <w:t>sociedades operadoras</w:t>
      </w:r>
      <w:r w:rsidR="00B95414" w:rsidRPr="00DB3DBC">
        <w:rPr>
          <w:rFonts w:asciiTheme="majorHAnsi" w:hAnsiTheme="majorHAnsi"/>
          <w:sz w:val="24"/>
          <w:szCs w:val="24"/>
          <w:lang w:val="es-MX"/>
        </w:rPr>
        <w:t>, ya que no están definidos.</w:t>
      </w:r>
      <w:r w:rsidR="003A1A22" w:rsidRPr="00DB3DBC">
        <w:rPr>
          <w:rFonts w:asciiTheme="majorHAnsi" w:hAnsiTheme="majorHAnsi"/>
          <w:sz w:val="24"/>
          <w:szCs w:val="24"/>
          <w:lang w:val="es-MX"/>
        </w:rPr>
        <w:t xml:space="preserve"> </w:t>
      </w:r>
      <w:r w:rsidR="00160202">
        <w:rPr>
          <w:rFonts w:asciiTheme="majorHAnsi" w:hAnsiTheme="majorHAnsi"/>
          <w:sz w:val="24"/>
          <w:szCs w:val="24"/>
          <w:lang w:val="es-MX"/>
        </w:rPr>
        <w:t xml:space="preserve">Por último, una norma de esta naturaleza aumenta </w:t>
      </w:r>
      <w:r w:rsidR="003A1A22" w:rsidRPr="00DB3DBC">
        <w:rPr>
          <w:rFonts w:asciiTheme="majorHAnsi" w:hAnsiTheme="majorHAnsi"/>
          <w:sz w:val="24"/>
          <w:szCs w:val="24"/>
          <w:lang w:val="es-MX"/>
        </w:rPr>
        <w:t xml:space="preserve">los costos administrativos y de tiempo </w:t>
      </w:r>
      <w:r w:rsidR="00160202">
        <w:rPr>
          <w:rFonts w:asciiTheme="majorHAnsi" w:hAnsiTheme="majorHAnsi"/>
          <w:sz w:val="24"/>
          <w:szCs w:val="24"/>
          <w:lang w:val="es-MX"/>
        </w:rPr>
        <w:t>y entorpece la gestión de las sociedades operadoras y tampoco se condice con el artículo 37 de la Ley de Sociedades A</w:t>
      </w:r>
      <w:r>
        <w:rPr>
          <w:rFonts w:asciiTheme="majorHAnsi" w:hAnsiTheme="majorHAnsi"/>
          <w:sz w:val="24"/>
          <w:szCs w:val="24"/>
          <w:lang w:val="es-MX"/>
        </w:rPr>
        <w:t xml:space="preserve">nónimas ni con lo dispuesto en Título </w:t>
      </w:r>
      <w:proofErr w:type="spellStart"/>
      <w:r w:rsidR="00160202">
        <w:rPr>
          <w:rFonts w:asciiTheme="majorHAnsi" w:hAnsiTheme="majorHAnsi"/>
          <w:sz w:val="24"/>
          <w:szCs w:val="24"/>
          <w:lang w:val="es-MX"/>
        </w:rPr>
        <w:t>l</w:t>
      </w:r>
      <w:r>
        <w:rPr>
          <w:rFonts w:asciiTheme="majorHAnsi" w:hAnsiTheme="majorHAnsi"/>
          <w:sz w:val="24"/>
          <w:szCs w:val="24"/>
          <w:lang w:val="es-MX"/>
        </w:rPr>
        <w:t>V</w:t>
      </w:r>
      <w:proofErr w:type="spellEnd"/>
      <w:r>
        <w:rPr>
          <w:rFonts w:asciiTheme="majorHAnsi" w:hAnsiTheme="majorHAnsi"/>
          <w:sz w:val="24"/>
          <w:szCs w:val="24"/>
          <w:lang w:val="es-MX"/>
        </w:rPr>
        <w:t xml:space="preserve">, capítulo 1, referido a nombramiento y renuncia de </w:t>
      </w:r>
      <w:r w:rsidR="00DD5CE2">
        <w:rPr>
          <w:rFonts w:asciiTheme="majorHAnsi" w:hAnsiTheme="majorHAnsi"/>
          <w:sz w:val="24"/>
          <w:szCs w:val="24"/>
          <w:lang w:val="es-MX"/>
        </w:rPr>
        <w:t xml:space="preserve">Directores, </w:t>
      </w:r>
      <w:r w:rsidR="00160202">
        <w:rPr>
          <w:rFonts w:asciiTheme="majorHAnsi" w:hAnsiTheme="majorHAnsi"/>
          <w:sz w:val="24"/>
          <w:szCs w:val="24"/>
          <w:lang w:val="es-MX"/>
        </w:rPr>
        <w:t>del Reglamento</w:t>
      </w:r>
      <w:r w:rsidR="00160202" w:rsidRPr="00160202">
        <w:t xml:space="preserve"> </w:t>
      </w:r>
      <w:r w:rsidR="00160202" w:rsidRPr="00160202">
        <w:rPr>
          <w:rFonts w:asciiTheme="majorHAnsi" w:hAnsiTheme="majorHAnsi"/>
          <w:sz w:val="24"/>
          <w:szCs w:val="24"/>
          <w:lang w:val="es-MX"/>
        </w:rPr>
        <w:t>de la Ley de Sociedades Anónimas</w:t>
      </w:r>
      <w:r w:rsidR="003A1A22" w:rsidRPr="00DB3DBC">
        <w:rPr>
          <w:rFonts w:asciiTheme="majorHAnsi" w:hAnsiTheme="majorHAnsi"/>
          <w:sz w:val="24"/>
          <w:szCs w:val="24"/>
          <w:lang w:val="es-MX"/>
        </w:rPr>
        <w:t>.</w:t>
      </w:r>
      <w:r w:rsidR="00160202">
        <w:rPr>
          <w:rFonts w:asciiTheme="majorHAnsi" w:hAnsiTheme="majorHAnsi"/>
          <w:sz w:val="24"/>
          <w:szCs w:val="24"/>
          <w:lang w:val="es-MX"/>
        </w:rPr>
        <w:t xml:space="preserve"> </w:t>
      </w:r>
    </w:p>
    <w:p w:rsidR="001B1B88" w:rsidRPr="00B534E1" w:rsidRDefault="001B1B88" w:rsidP="001B1B88">
      <w:pPr>
        <w:spacing w:after="0" w:line="240" w:lineRule="auto"/>
        <w:jc w:val="both"/>
        <w:rPr>
          <w:rFonts w:asciiTheme="majorHAnsi" w:hAnsiTheme="majorHAnsi"/>
          <w:sz w:val="24"/>
          <w:szCs w:val="24"/>
          <w:lang w:val="es-MX"/>
        </w:rPr>
      </w:pPr>
    </w:p>
    <w:p w:rsidR="001B1B88" w:rsidRPr="00B534E1" w:rsidRDefault="001B1B88" w:rsidP="00490F48">
      <w:pPr>
        <w:pStyle w:val="Prrafodelista"/>
        <w:numPr>
          <w:ilvl w:val="1"/>
          <w:numId w:val="1"/>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En el artículo 25, la letra f) se define infracción grave</w:t>
      </w:r>
      <w:r w:rsidR="00490F48">
        <w:rPr>
          <w:rFonts w:asciiTheme="majorHAnsi" w:hAnsiTheme="majorHAnsi"/>
          <w:sz w:val="24"/>
          <w:szCs w:val="24"/>
          <w:lang w:val="es-MX"/>
        </w:rPr>
        <w:t>, sin embargo de conformidad al principio de reserva legal n</w:t>
      </w:r>
      <w:r w:rsidR="004A7153" w:rsidRPr="00B534E1">
        <w:rPr>
          <w:rFonts w:asciiTheme="majorHAnsi" w:hAnsiTheme="majorHAnsi"/>
          <w:sz w:val="24"/>
          <w:szCs w:val="24"/>
          <w:lang w:val="es-MX"/>
        </w:rPr>
        <w:t xml:space="preserve">o </w:t>
      </w:r>
      <w:r w:rsidR="00490F48">
        <w:rPr>
          <w:rFonts w:asciiTheme="majorHAnsi" w:hAnsiTheme="majorHAnsi"/>
          <w:sz w:val="24"/>
          <w:szCs w:val="24"/>
          <w:lang w:val="es-MX"/>
        </w:rPr>
        <w:t xml:space="preserve">resulta </w:t>
      </w:r>
      <w:r w:rsidRPr="00B534E1">
        <w:rPr>
          <w:rFonts w:asciiTheme="majorHAnsi" w:hAnsiTheme="majorHAnsi"/>
          <w:sz w:val="24"/>
          <w:szCs w:val="24"/>
          <w:lang w:val="es-MX"/>
        </w:rPr>
        <w:t xml:space="preserve">posible </w:t>
      </w:r>
      <w:r w:rsidR="00490F48">
        <w:rPr>
          <w:rFonts w:asciiTheme="majorHAnsi" w:hAnsiTheme="majorHAnsi"/>
          <w:sz w:val="24"/>
          <w:szCs w:val="24"/>
          <w:lang w:val="es-MX"/>
        </w:rPr>
        <w:t xml:space="preserve">que la </w:t>
      </w:r>
      <w:r w:rsidRPr="00B534E1">
        <w:rPr>
          <w:rFonts w:asciiTheme="majorHAnsi" w:hAnsiTheme="majorHAnsi"/>
          <w:sz w:val="24"/>
          <w:szCs w:val="24"/>
          <w:lang w:val="es-MX"/>
        </w:rPr>
        <w:t>defini</w:t>
      </w:r>
      <w:r w:rsidR="00490F48">
        <w:rPr>
          <w:rFonts w:asciiTheme="majorHAnsi" w:hAnsiTheme="majorHAnsi"/>
          <w:sz w:val="24"/>
          <w:szCs w:val="24"/>
          <w:lang w:val="es-MX"/>
        </w:rPr>
        <w:t>ción de lo que se considerará “</w:t>
      </w:r>
      <w:r w:rsidR="00490F48" w:rsidRPr="00490F48">
        <w:rPr>
          <w:rFonts w:asciiTheme="majorHAnsi" w:hAnsiTheme="majorHAnsi"/>
          <w:sz w:val="24"/>
          <w:szCs w:val="24"/>
          <w:lang w:val="es-MX"/>
        </w:rPr>
        <w:t>infracción grave</w:t>
      </w:r>
      <w:r w:rsidR="00490F48">
        <w:rPr>
          <w:rFonts w:asciiTheme="majorHAnsi" w:hAnsiTheme="majorHAnsi"/>
          <w:sz w:val="24"/>
          <w:szCs w:val="24"/>
          <w:lang w:val="es-MX"/>
        </w:rPr>
        <w:t>”</w:t>
      </w:r>
      <w:r w:rsidR="00490F48" w:rsidRPr="00490F48">
        <w:rPr>
          <w:rFonts w:asciiTheme="majorHAnsi" w:hAnsiTheme="majorHAnsi"/>
          <w:sz w:val="24"/>
          <w:szCs w:val="24"/>
          <w:lang w:val="es-MX"/>
        </w:rPr>
        <w:t xml:space="preserve"> </w:t>
      </w:r>
      <w:r w:rsidR="00E01EC4">
        <w:rPr>
          <w:rFonts w:asciiTheme="majorHAnsi" w:hAnsiTheme="majorHAnsi"/>
          <w:sz w:val="24"/>
          <w:szCs w:val="24"/>
          <w:lang w:val="es-MX"/>
        </w:rPr>
        <w:t xml:space="preserve">se haga </w:t>
      </w:r>
      <w:r w:rsidRPr="00B534E1">
        <w:rPr>
          <w:rFonts w:asciiTheme="majorHAnsi" w:hAnsiTheme="majorHAnsi"/>
          <w:sz w:val="24"/>
          <w:szCs w:val="24"/>
          <w:lang w:val="es-MX"/>
        </w:rPr>
        <w:t xml:space="preserve">a través del reglamento, ya que </w:t>
      </w:r>
      <w:r w:rsidR="004A7153" w:rsidRPr="00B534E1">
        <w:rPr>
          <w:rFonts w:asciiTheme="majorHAnsi" w:hAnsiTheme="majorHAnsi"/>
          <w:sz w:val="24"/>
          <w:szCs w:val="24"/>
          <w:lang w:val="es-MX"/>
        </w:rPr>
        <w:t xml:space="preserve">su contenido </w:t>
      </w:r>
      <w:r w:rsidR="00E01EC4">
        <w:rPr>
          <w:rFonts w:asciiTheme="majorHAnsi" w:hAnsiTheme="majorHAnsi"/>
          <w:sz w:val="24"/>
          <w:szCs w:val="24"/>
          <w:lang w:val="es-MX"/>
        </w:rPr>
        <w:t xml:space="preserve">no </w:t>
      </w:r>
      <w:r w:rsidR="004A7153" w:rsidRPr="00B534E1">
        <w:rPr>
          <w:rFonts w:asciiTheme="majorHAnsi" w:hAnsiTheme="majorHAnsi"/>
          <w:sz w:val="24"/>
          <w:szCs w:val="24"/>
          <w:lang w:val="es-MX"/>
        </w:rPr>
        <w:t>fue definido ni</w:t>
      </w:r>
      <w:r w:rsidRPr="00B534E1">
        <w:rPr>
          <w:rFonts w:asciiTheme="majorHAnsi" w:hAnsiTheme="majorHAnsi"/>
          <w:sz w:val="24"/>
          <w:szCs w:val="24"/>
          <w:lang w:val="es-MX"/>
        </w:rPr>
        <w:t xml:space="preserve"> establecido en la ley</w:t>
      </w:r>
      <w:r w:rsidR="004A7153" w:rsidRPr="00B534E1">
        <w:rPr>
          <w:rFonts w:asciiTheme="majorHAnsi" w:hAnsiTheme="majorHAnsi"/>
          <w:sz w:val="24"/>
          <w:szCs w:val="24"/>
          <w:lang w:val="es-MX"/>
        </w:rPr>
        <w:t>.</w:t>
      </w:r>
      <w:r w:rsidRPr="00B534E1">
        <w:rPr>
          <w:rFonts w:asciiTheme="majorHAnsi" w:hAnsiTheme="majorHAnsi"/>
          <w:sz w:val="24"/>
          <w:szCs w:val="24"/>
          <w:lang w:val="es-MX"/>
        </w:rPr>
        <w:t xml:space="preserve"> Además, consideran como </w:t>
      </w:r>
      <w:r w:rsidR="004A7153" w:rsidRPr="00B534E1">
        <w:rPr>
          <w:rFonts w:asciiTheme="majorHAnsi" w:hAnsiTheme="majorHAnsi"/>
          <w:sz w:val="24"/>
          <w:szCs w:val="24"/>
          <w:lang w:val="es-MX"/>
        </w:rPr>
        <w:t xml:space="preserve">infracciones graves </w:t>
      </w:r>
      <w:r w:rsidRPr="00B534E1">
        <w:rPr>
          <w:rFonts w:asciiTheme="majorHAnsi" w:hAnsiTheme="majorHAnsi"/>
          <w:sz w:val="24"/>
          <w:szCs w:val="24"/>
          <w:lang w:val="es-MX"/>
        </w:rPr>
        <w:t>a las causales de revocación, lo que hace más extraña la tipificación, ya que se trataría de casos en que se sanciona por dichos incumplimientos, pero la autoridad no revoca el permiso de operación. Además, en el caso de sociedades extranjeras se hace referencia a “aquellas homologables”</w:t>
      </w:r>
      <w:r w:rsidR="004A7153" w:rsidRPr="00B534E1">
        <w:rPr>
          <w:rFonts w:asciiTheme="majorHAnsi" w:hAnsiTheme="majorHAnsi"/>
          <w:sz w:val="24"/>
          <w:szCs w:val="24"/>
          <w:lang w:val="es-MX"/>
        </w:rPr>
        <w:t>:</w:t>
      </w:r>
      <w:r w:rsidRPr="00B534E1">
        <w:rPr>
          <w:rFonts w:asciiTheme="majorHAnsi" w:hAnsiTheme="majorHAnsi"/>
          <w:sz w:val="24"/>
          <w:szCs w:val="24"/>
          <w:lang w:val="es-MX"/>
        </w:rPr>
        <w:t xml:space="preserve"> ¿</w:t>
      </w:r>
      <w:r w:rsidR="004A7153" w:rsidRPr="00B534E1">
        <w:rPr>
          <w:rFonts w:asciiTheme="majorHAnsi" w:hAnsiTheme="majorHAnsi"/>
          <w:sz w:val="24"/>
          <w:szCs w:val="24"/>
          <w:lang w:val="es-MX"/>
        </w:rPr>
        <w:t>Q</w:t>
      </w:r>
      <w:r w:rsidRPr="00B534E1">
        <w:rPr>
          <w:rFonts w:asciiTheme="majorHAnsi" w:hAnsiTheme="majorHAnsi"/>
          <w:sz w:val="24"/>
          <w:szCs w:val="24"/>
          <w:lang w:val="es-MX"/>
        </w:rPr>
        <w:t>ui</w:t>
      </w:r>
      <w:r w:rsidR="004A7153" w:rsidRPr="00B534E1">
        <w:rPr>
          <w:rFonts w:asciiTheme="majorHAnsi" w:hAnsiTheme="majorHAnsi"/>
          <w:sz w:val="24"/>
          <w:szCs w:val="24"/>
          <w:lang w:val="es-MX"/>
        </w:rPr>
        <w:t>é</w:t>
      </w:r>
      <w:r w:rsidRPr="00B534E1">
        <w:rPr>
          <w:rFonts w:asciiTheme="majorHAnsi" w:hAnsiTheme="majorHAnsi"/>
          <w:sz w:val="24"/>
          <w:szCs w:val="24"/>
          <w:lang w:val="es-MX"/>
        </w:rPr>
        <w:t>n hará esa homologación?</w:t>
      </w:r>
      <w:r w:rsidR="004A7153" w:rsidRPr="00B534E1">
        <w:rPr>
          <w:rFonts w:asciiTheme="majorHAnsi" w:hAnsiTheme="majorHAnsi"/>
          <w:sz w:val="24"/>
          <w:szCs w:val="24"/>
          <w:lang w:val="es-MX"/>
        </w:rPr>
        <w:t>, ¿De acuerdo a qué parámetros? y</w:t>
      </w:r>
      <w:r w:rsidRPr="00B534E1">
        <w:rPr>
          <w:rFonts w:asciiTheme="majorHAnsi" w:hAnsiTheme="majorHAnsi"/>
          <w:sz w:val="24"/>
          <w:szCs w:val="24"/>
          <w:lang w:val="es-MX"/>
        </w:rPr>
        <w:t xml:space="preserve"> ¿se </w:t>
      </w:r>
      <w:r w:rsidRPr="00B534E1">
        <w:rPr>
          <w:rFonts w:asciiTheme="majorHAnsi" w:hAnsiTheme="majorHAnsi"/>
          <w:sz w:val="24"/>
          <w:szCs w:val="24"/>
          <w:lang w:val="es-MX"/>
        </w:rPr>
        <w:lastRenderedPageBreak/>
        <w:t>definirá</w:t>
      </w:r>
      <w:r w:rsidR="004A7153" w:rsidRPr="00B534E1">
        <w:rPr>
          <w:rFonts w:asciiTheme="majorHAnsi" w:hAnsiTheme="majorHAnsi"/>
          <w:sz w:val="24"/>
          <w:szCs w:val="24"/>
          <w:lang w:val="es-MX"/>
        </w:rPr>
        <w:t>n</w:t>
      </w:r>
      <w:r w:rsidRPr="00B534E1">
        <w:rPr>
          <w:rFonts w:asciiTheme="majorHAnsi" w:hAnsiTheme="majorHAnsi"/>
          <w:sz w:val="24"/>
          <w:szCs w:val="24"/>
          <w:lang w:val="es-MX"/>
        </w:rPr>
        <w:t xml:space="preserve"> antes de iniciar el proceso</w:t>
      </w:r>
      <w:r w:rsidR="004A7153" w:rsidRPr="00B534E1">
        <w:rPr>
          <w:rFonts w:asciiTheme="majorHAnsi" w:hAnsiTheme="majorHAnsi"/>
          <w:sz w:val="24"/>
          <w:szCs w:val="24"/>
          <w:lang w:val="es-MX"/>
        </w:rPr>
        <w:t xml:space="preserve"> de otorgamiento de permisos de operación</w:t>
      </w:r>
      <w:r w:rsidRPr="00B534E1">
        <w:rPr>
          <w:rFonts w:asciiTheme="majorHAnsi" w:hAnsiTheme="majorHAnsi"/>
          <w:sz w:val="24"/>
          <w:szCs w:val="24"/>
          <w:lang w:val="es-MX"/>
        </w:rPr>
        <w:t>?</w:t>
      </w:r>
    </w:p>
    <w:p w:rsidR="004A7153" w:rsidRPr="00B534E1" w:rsidRDefault="004A7153" w:rsidP="004A7153">
      <w:pPr>
        <w:pStyle w:val="Prrafodelista"/>
        <w:spacing w:after="0" w:line="240" w:lineRule="auto"/>
        <w:ind w:left="1080"/>
        <w:jc w:val="both"/>
        <w:rPr>
          <w:rFonts w:asciiTheme="majorHAnsi" w:hAnsiTheme="majorHAnsi"/>
          <w:sz w:val="24"/>
          <w:szCs w:val="24"/>
          <w:lang w:val="es-MX"/>
        </w:rPr>
      </w:pPr>
    </w:p>
    <w:p w:rsidR="005C23E9" w:rsidRPr="00B534E1" w:rsidRDefault="00726821" w:rsidP="00A77AB5">
      <w:pPr>
        <w:pStyle w:val="Prrafodelista"/>
        <w:numPr>
          <w:ilvl w:val="1"/>
          <w:numId w:val="1"/>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En el </w:t>
      </w:r>
      <w:r w:rsidR="00A77AB5" w:rsidRPr="00A77AB5">
        <w:rPr>
          <w:rFonts w:asciiTheme="majorHAnsi" w:hAnsiTheme="majorHAnsi"/>
          <w:sz w:val="24"/>
          <w:szCs w:val="24"/>
          <w:lang w:val="es-MX"/>
        </w:rPr>
        <w:t>antepenúltimo inciso</w:t>
      </w:r>
      <w:r w:rsidR="00A77AB5">
        <w:rPr>
          <w:rFonts w:asciiTheme="majorHAnsi" w:hAnsiTheme="majorHAnsi"/>
          <w:sz w:val="24"/>
          <w:szCs w:val="24"/>
          <w:lang w:val="es-MX"/>
        </w:rPr>
        <w:t xml:space="preserve"> del </w:t>
      </w:r>
      <w:r w:rsidRPr="00B534E1">
        <w:rPr>
          <w:rFonts w:asciiTheme="majorHAnsi" w:hAnsiTheme="majorHAnsi"/>
          <w:sz w:val="24"/>
          <w:szCs w:val="24"/>
          <w:lang w:val="es-MX"/>
        </w:rPr>
        <w:t>artículo 33, se establece</w:t>
      </w:r>
      <w:r w:rsidR="00A77AB5">
        <w:rPr>
          <w:rFonts w:asciiTheme="majorHAnsi" w:hAnsiTheme="majorHAnsi"/>
          <w:sz w:val="24"/>
          <w:szCs w:val="24"/>
          <w:lang w:val="es-MX"/>
        </w:rPr>
        <w:t xml:space="preserve">, respecto de </w:t>
      </w:r>
      <w:r w:rsidRPr="00B534E1">
        <w:rPr>
          <w:rFonts w:asciiTheme="majorHAnsi" w:hAnsiTheme="majorHAnsi"/>
          <w:sz w:val="24"/>
          <w:szCs w:val="24"/>
          <w:lang w:val="es-MX"/>
        </w:rPr>
        <w:t xml:space="preserve">cinco de los seis </w:t>
      </w:r>
      <w:proofErr w:type="spellStart"/>
      <w:r w:rsidRPr="00B534E1">
        <w:rPr>
          <w:rFonts w:asciiTheme="majorHAnsi" w:hAnsiTheme="majorHAnsi"/>
          <w:sz w:val="24"/>
          <w:szCs w:val="24"/>
          <w:lang w:val="es-MX"/>
        </w:rPr>
        <w:t>subfactores</w:t>
      </w:r>
      <w:proofErr w:type="spellEnd"/>
      <w:r w:rsidRPr="00B534E1">
        <w:rPr>
          <w:rFonts w:asciiTheme="majorHAnsi" w:hAnsiTheme="majorHAnsi"/>
          <w:sz w:val="24"/>
          <w:szCs w:val="24"/>
          <w:lang w:val="es-MX"/>
        </w:rPr>
        <w:t xml:space="preserve"> que evalúa la Superintendencia, </w:t>
      </w:r>
      <w:r w:rsidR="00A77AB5">
        <w:rPr>
          <w:rFonts w:asciiTheme="majorHAnsi" w:hAnsiTheme="majorHAnsi"/>
          <w:sz w:val="24"/>
          <w:szCs w:val="24"/>
          <w:lang w:val="es-MX"/>
        </w:rPr>
        <w:t>que e</w:t>
      </w:r>
      <w:r w:rsidRPr="00B534E1">
        <w:rPr>
          <w:rFonts w:asciiTheme="majorHAnsi" w:hAnsiTheme="majorHAnsi"/>
          <w:sz w:val="24"/>
          <w:szCs w:val="24"/>
          <w:lang w:val="es-MX"/>
        </w:rPr>
        <w:t xml:space="preserve">stos deben tener una calificación no inferior </w:t>
      </w:r>
      <w:r w:rsidR="00A77AB5" w:rsidRPr="002D1A05">
        <w:rPr>
          <w:rFonts w:asciiTheme="majorHAnsi" w:hAnsiTheme="majorHAnsi"/>
          <w:i/>
          <w:sz w:val="24"/>
          <w:szCs w:val="24"/>
          <w:lang w:val="es-MX"/>
        </w:rPr>
        <w:t>“…</w:t>
      </w:r>
      <w:r w:rsidRPr="002D1A05">
        <w:rPr>
          <w:rFonts w:asciiTheme="majorHAnsi" w:hAnsiTheme="majorHAnsi"/>
          <w:i/>
          <w:sz w:val="24"/>
          <w:szCs w:val="24"/>
          <w:lang w:val="es-MX"/>
        </w:rPr>
        <w:t>a</w:t>
      </w:r>
      <w:r w:rsidR="00A77AB5" w:rsidRPr="002D1A05">
        <w:rPr>
          <w:rFonts w:asciiTheme="majorHAnsi" w:hAnsiTheme="majorHAnsi"/>
          <w:i/>
          <w:sz w:val="24"/>
          <w:szCs w:val="24"/>
          <w:lang w:val="es-MX"/>
        </w:rPr>
        <w:t>l</w:t>
      </w:r>
      <w:r w:rsidRPr="002D1A05">
        <w:rPr>
          <w:rFonts w:asciiTheme="majorHAnsi" w:hAnsiTheme="majorHAnsi"/>
          <w:i/>
          <w:sz w:val="24"/>
          <w:szCs w:val="24"/>
          <w:lang w:val="es-MX"/>
        </w:rPr>
        <w:t xml:space="preserve"> 60</w:t>
      </w:r>
      <w:r w:rsidR="00A77AB5" w:rsidRPr="002D1A05">
        <w:rPr>
          <w:rFonts w:asciiTheme="majorHAnsi" w:hAnsiTheme="majorHAnsi"/>
          <w:i/>
          <w:sz w:val="24"/>
          <w:szCs w:val="24"/>
          <w:lang w:val="es-MX"/>
        </w:rPr>
        <w:t>%</w:t>
      </w:r>
      <w:r w:rsidRPr="002D1A05">
        <w:rPr>
          <w:rFonts w:asciiTheme="majorHAnsi" w:hAnsiTheme="majorHAnsi"/>
          <w:i/>
          <w:sz w:val="24"/>
          <w:szCs w:val="24"/>
          <w:lang w:val="es-MX"/>
        </w:rPr>
        <w:t xml:space="preserve"> </w:t>
      </w:r>
      <w:r w:rsidR="00A77AB5" w:rsidRPr="002D1A05">
        <w:rPr>
          <w:rFonts w:asciiTheme="majorHAnsi" w:hAnsiTheme="majorHAnsi"/>
          <w:i/>
          <w:sz w:val="24"/>
          <w:szCs w:val="24"/>
          <w:lang w:val="es-MX"/>
        </w:rPr>
        <w:t>del máximo obtenible”</w:t>
      </w:r>
      <w:r w:rsidRPr="00B534E1">
        <w:rPr>
          <w:rFonts w:asciiTheme="majorHAnsi" w:hAnsiTheme="majorHAnsi"/>
          <w:sz w:val="24"/>
          <w:szCs w:val="24"/>
          <w:lang w:val="es-MX"/>
        </w:rPr>
        <w:t xml:space="preserve">. </w:t>
      </w:r>
      <w:r w:rsidR="00A77AB5">
        <w:rPr>
          <w:rFonts w:asciiTheme="majorHAnsi" w:hAnsiTheme="majorHAnsi"/>
          <w:sz w:val="24"/>
          <w:szCs w:val="24"/>
          <w:lang w:val="es-MX"/>
        </w:rPr>
        <w:t xml:space="preserve"> De </w:t>
      </w:r>
      <w:r w:rsidRPr="00B534E1">
        <w:rPr>
          <w:rFonts w:asciiTheme="majorHAnsi" w:hAnsiTheme="majorHAnsi"/>
          <w:sz w:val="24"/>
          <w:szCs w:val="24"/>
          <w:lang w:val="es-MX"/>
        </w:rPr>
        <w:t>no cumpl</w:t>
      </w:r>
      <w:r w:rsidR="00A77AB5">
        <w:rPr>
          <w:rFonts w:asciiTheme="majorHAnsi" w:hAnsiTheme="majorHAnsi"/>
          <w:sz w:val="24"/>
          <w:szCs w:val="24"/>
          <w:lang w:val="es-MX"/>
        </w:rPr>
        <w:t>irse</w:t>
      </w:r>
      <w:r w:rsidRPr="00B534E1">
        <w:rPr>
          <w:rFonts w:asciiTheme="majorHAnsi" w:hAnsiTheme="majorHAnsi"/>
          <w:sz w:val="24"/>
          <w:szCs w:val="24"/>
          <w:lang w:val="es-MX"/>
        </w:rPr>
        <w:t xml:space="preserve"> </w:t>
      </w:r>
      <w:r w:rsidR="00A77AB5">
        <w:rPr>
          <w:rFonts w:asciiTheme="majorHAnsi" w:hAnsiTheme="majorHAnsi"/>
          <w:sz w:val="24"/>
          <w:szCs w:val="24"/>
          <w:lang w:val="es-MX"/>
        </w:rPr>
        <w:t xml:space="preserve">tal </w:t>
      </w:r>
      <w:r w:rsidRPr="00B534E1">
        <w:rPr>
          <w:rFonts w:asciiTheme="majorHAnsi" w:hAnsiTheme="majorHAnsi"/>
          <w:sz w:val="24"/>
          <w:szCs w:val="24"/>
          <w:lang w:val="es-MX"/>
        </w:rPr>
        <w:t>condición, se califica</w:t>
      </w:r>
      <w:r w:rsidR="00A77AB5">
        <w:rPr>
          <w:rFonts w:asciiTheme="majorHAnsi" w:hAnsiTheme="majorHAnsi"/>
          <w:sz w:val="24"/>
          <w:szCs w:val="24"/>
          <w:lang w:val="es-MX"/>
        </w:rPr>
        <w:t>rá</w:t>
      </w:r>
      <w:r w:rsidRPr="00B534E1">
        <w:rPr>
          <w:rFonts w:asciiTheme="majorHAnsi" w:hAnsiTheme="majorHAnsi"/>
          <w:sz w:val="24"/>
          <w:szCs w:val="24"/>
          <w:lang w:val="es-MX"/>
        </w:rPr>
        <w:t xml:space="preserve">n con cero esos cinco </w:t>
      </w:r>
      <w:proofErr w:type="spellStart"/>
      <w:r w:rsidRPr="00B534E1">
        <w:rPr>
          <w:rFonts w:asciiTheme="majorHAnsi" w:hAnsiTheme="majorHAnsi"/>
          <w:sz w:val="24"/>
          <w:szCs w:val="24"/>
          <w:lang w:val="es-MX"/>
        </w:rPr>
        <w:t>subfactores</w:t>
      </w:r>
      <w:proofErr w:type="spellEnd"/>
      <w:r w:rsidRPr="00B534E1">
        <w:rPr>
          <w:rFonts w:asciiTheme="majorHAnsi" w:hAnsiTheme="majorHAnsi"/>
          <w:sz w:val="24"/>
          <w:szCs w:val="24"/>
          <w:lang w:val="es-MX"/>
        </w:rPr>
        <w:t>, obteniendo el proyecto men</w:t>
      </w:r>
      <w:r w:rsidR="0063202F" w:rsidRPr="00B534E1">
        <w:rPr>
          <w:rFonts w:asciiTheme="majorHAnsi" w:hAnsiTheme="majorHAnsi"/>
          <w:sz w:val="24"/>
          <w:szCs w:val="24"/>
          <w:lang w:val="es-MX"/>
        </w:rPr>
        <w:t xml:space="preserve">os de 600 puntos con lo cual </w:t>
      </w:r>
      <w:r w:rsidRPr="00B534E1">
        <w:rPr>
          <w:rFonts w:asciiTheme="majorHAnsi" w:hAnsiTheme="majorHAnsi"/>
          <w:sz w:val="24"/>
          <w:szCs w:val="24"/>
          <w:lang w:val="es-MX"/>
        </w:rPr>
        <w:t xml:space="preserve">técnicamente no </w:t>
      </w:r>
      <w:r w:rsidR="00A77AB5">
        <w:rPr>
          <w:rFonts w:asciiTheme="majorHAnsi" w:hAnsiTheme="majorHAnsi"/>
          <w:sz w:val="24"/>
          <w:szCs w:val="24"/>
          <w:lang w:val="es-MX"/>
        </w:rPr>
        <w:t xml:space="preserve">tendrá posibilidad de </w:t>
      </w:r>
      <w:r w:rsidRPr="00B534E1">
        <w:rPr>
          <w:rFonts w:asciiTheme="majorHAnsi" w:hAnsiTheme="majorHAnsi"/>
          <w:sz w:val="24"/>
          <w:szCs w:val="24"/>
          <w:lang w:val="es-MX"/>
        </w:rPr>
        <w:t>califica</w:t>
      </w:r>
      <w:r w:rsidR="00A77AB5">
        <w:rPr>
          <w:rFonts w:asciiTheme="majorHAnsi" w:hAnsiTheme="majorHAnsi"/>
          <w:sz w:val="24"/>
          <w:szCs w:val="24"/>
          <w:lang w:val="es-MX"/>
        </w:rPr>
        <w:t>r</w:t>
      </w:r>
      <w:r w:rsidRPr="00B534E1">
        <w:rPr>
          <w:rFonts w:asciiTheme="majorHAnsi" w:hAnsiTheme="majorHAnsi"/>
          <w:sz w:val="24"/>
          <w:szCs w:val="24"/>
          <w:lang w:val="es-MX"/>
        </w:rPr>
        <w:t xml:space="preserve">. </w:t>
      </w:r>
      <w:r w:rsidR="004A7153" w:rsidRPr="00B534E1">
        <w:rPr>
          <w:rFonts w:asciiTheme="majorHAnsi" w:hAnsiTheme="majorHAnsi"/>
          <w:sz w:val="24"/>
          <w:szCs w:val="24"/>
          <w:lang w:val="es-MX"/>
        </w:rPr>
        <w:t xml:space="preserve">Esta exigencia vulnera la ley pues ésta, </w:t>
      </w:r>
      <w:r w:rsidRPr="00B534E1">
        <w:rPr>
          <w:rFonts w:asciiTheme="majorHAnsi" w:hAnsiTheme="majorHAnsi"/>
          <w:sz w:val="24"/>
          <w:szCs w:val="24"/>
          <w:lang w:val="es-MX"/>
        </w:rPr>
        <w:t xml:space="preserve">para </w:t>
      </w:r>
      <w:r w:rsidR="004A7153" w:rsidRPr="00B534E1">
        <w:rPr>
          <w:rFonts w:asciiTheme="majorHAnsi" w:hAnsiTheme="majorHAnsi"/>
          <w:sz w:val="24"/>
          <w:szCs w:val="24"/>
          <w:lang w:val="es-MX"/>
        </w:rPr>
        <w:t xml:space="preserve">que un proyecto </w:t>
      </w:r>
      <w:r w:rsidRPr="00B534E1">
        <w:rPr>
          <w:rFonts w:asciiTheme="majorHAnsi" w:hAnsiTheme="majorHAnsi"/>
          <w:sz w:val="24"/>
          <w:szCs w:val="24"/>
          <w:lang w:val="es-MX"/>
        </w:rPr>
        <w:t>califi</w:t>
      </w:r>
      <w:r w:rsidR="004A7153" w:rsidRPr="00B534E1">
        <w:rPr>
          <w:rFonts w:asciiTheme="majorHAnsi" w:hAnsiTheme="majorHAnsi"/>
          <w:sz w:val="24"/>
          <w:szCs w:val="24"/>
          <w:lang w:val="es-MX"/>
        </w:rPr>
        <w:t xml:space="preserve">que, sólo exige que éste </w:t>
      </w:r>
      <w:r w:rsidRPr="00B534E1">
        <w:rPr>
          <w:rFonts w:asciiTheme="majorHAnsi" w:hAnsiTheme="majorHAnsi"/>
          <w:sz w:val="24"/>
          <w:szCs w:val="24"/>
          <w:lang w:val="es-MX"/>
        </w:rPr>
        <w:t>alcan</w:t>
      </w:r>
      <w:r w:rsidR="004A7153" w:rsidRPr="00B534E1">
        <w:rPr>
          <w:rFonts w:asciiTheme="majorHAnsi" w:hAnsiTheme="majorHAnsi"/>
          <w:sz w:val="24"/>
          <w:szCs w:val="24"/>
          <w:lang w:val="es-MX"/>
        </w:rPr>
        <w:t xml:space="preserve">ce </w:t>
      </w:r>
      <w:r w:rsidRPr="00B534E1">
        <w:rPr>
          <w:rFonts w:asciiTheme="majorHAnsi" w:hAnsiTheme="majorHAnsi"/>
          <w:sz w:val="24"/>
          <w:szCs w:val="24"/>
          <w:lang w:val="es-MX"/>
        </w:rPr>
        <w:t xml:space="preserve">un 60% del puntaje total. </w:t>
      </w:r>
      <w:r w:rsidR="00A77AB5">
        <w:rPr>
          <w:rFonts w:asciiTheme="majorHAnsi" w:hAnsiTheme="majorHAnsi"/>
          <w:sz w:val="24"/>
          <w:szCs w:val="24"/>
          <w:lang w:val="es-MX"/>
        </w:rPr>
        <w:t xml:space="preserve">En consecuencia, dado que </w:t>
      </w:r>
      <w:r w:rsidRPr="00B534E1">
        <w:rPr>
          <w:rFonts w:asciiTheme="majorHAnsi" w:hAnsiTheme="majorHAnsi"/>
          <w:sz w:val="24"/>
          <w:szCs w:val="24"/>
          <w:lang w:val="es-MX"/>
        </w:rPr>
        <w:t xml:space="preserve">las condiciones </w:t>
      </w:r>
      <w:r w:rsidR="00A77AB5">
        <w:rPr>
          <w:rFonts w:asciiTheme="majorHAnsi" w:hAnsiTheme="majorHAnsi"/>
          <w:sz w:val="24"/>
          <w:szCs w:val="24"/>
          <w:lang w:val="es-MX"/>
        </w:rPr>
        <w:t>establecidas en</w:t>
      </w:r>
      <w:r w:rsidRPr="00B534E1">
        <w:rPr>
          <w:rFonts w:asciiTheme="majorHAnsi" w:hAnsiTheme="majorHAnsi"/>
          <w:sz w:val="24"/>
          <w:szCs w:val="24"/>
          <w:lang w:val="es-MX"/>
        </w:rPr>
        <w:t xml:space="preserve"> el reglamento e</w:t>
      </w:r>
      <w:r w:rsidR="0063202F" w:rsidRPr="00B534E1">
        <w:rPr>
          <w:rFonts w:asciiTheme="majorHAnsi" w:hAnsiTheme="majorHAnsi"/>
          <w:sz w:val="24"/>
          <w:szCs w:val="24"/>
          <w:lang w:val="es-MX"/>
        </w:rPr>
        <w:t>xceden lo estipulado en la ley</w:t>
      </w:r>
      <w:r w:rsidR="00A77AB5">
        <w:rPr>
          <w:rFonts w:asciiTheme="majorHAnsi" w:hAnsiTheme="majorHAnsi"/>
          <w:sz w:val="24"/>
          <w:szCs w:val="24"/>
          <w:lang w:val="es-MX"/>
        </w:rPr>
        <w:t xml:space="preserve">, se debe respetar la letra de ley contemplando en el sistema de evaluación la posibilidad de que cada de los referidos </w:t>
      </w:r>
      <w:r w:rsidR="00A77AB5" w:rsidRPr="00A77AB5">
        <w:rPr>
          <w:rFonts w:asciiTheme="majorHAnsi" w:hAnsiTheme="majorHAnsi"/>
          <w:sz w:val="24"/>
          <w:szCs w:val="24"/>
          <w:lang w:val="es-MX"/>
        </w:rPr>
        <w:t xml:space="preserve">cinco </w:t>
      </w:r>
      <w:proofErr w:type="spellStart"/>
      <w:r w:rsidR="00A77AB5" w:rsidRPr="00A77AB5">
        <w:rPr>
          <w:rFonts w:asciiTheme="majorHAnsi" w:hAnsiTheme="majorHAnsi"/>
          <w:sz w:val="24"/>
          <w:szCs w:val="24"/>
          <w:lang w:val="es-MX"/>
        </w:rPr>
        <w:t>subfactores</w:t>
      </w:r>
      <w:proofErr w:type="spellEnd"/>
      <w:r w:rsidR="00A77AB5" w:rsidRPr="00A77AB5">
        <w:rPr>
          <w:rFonts w:asciiTheme="majorHAnsi" w:hAnsiTheme="majorHAnsi"/>
          <w:sz w:val="24"/>
          <w:szCs w:val="24"/>
          <w:lang w:val="es-MX"/>
        </w:rPr>
        <w:t xml:space="preserve"> </w:t>
      </w:r>
      <w:r w:rsidR="00A77AB5">
        <w:rPr>
          <w:rFonts w:asciiTheme="majorHAnsi" w:hAnsiTheme="majorHAnsi"/>
          <w:sz w:val="24"/>
          <w:szCs w:val="24"/>
          <w:lang w:val="es-MX"/>
        </w:rPr>
        <w:t>se</w:t>
      </w:r>
      <w:r w:rsidR="00A77AB5" w:rsidRPr="00A77AB5">
        <w:rPr>
          <w:rFonts w:asciiTheme="majorHAnsi" w:hAnsiTheme="majorHAnsi"/>
          <w:sz w:val="24"/>
          <w:szCs w:val="24"/>
          <w:lang w:val="es-MX"/>
        </w:rPr>
        <w:t xml:space="preserve"> </w:t>
      </w:r>
      <w:r w:rsidR="00A77AB5">
        <w:rPr>
          <w:rFonts w:asciiTheme="majorHAnsi" w:hAnsiTheme="majorHAnsi"/>
          <w:sz w:val="24"/>
          <w:szCs w:val="24"/>
          <w:lang w:val="es-MX"/>
        </w:rPr>
        <w:t xml:space="preserve">evalúen </w:t>
      </w:r>
      <w:r w:rsidR="00A77AB5" w:rsidRPr="00A77AB5">
        <w:rPr>
          <w:rFonts w:asciiTheme="majorHAnsi" w:hAnsiTheme="majorHAnsi"/>
          <w:sz w:val="24"/>
          <w:szCs w:val="24"/>
          <w:lang w:val="es-MX"/>
        </w:rPr>
        <w:t>entre 0 a 100</w:t>
      </w:r>
      <w:r w:rsidR="00A77AB5">
        <w:rPr>
          <w:rFonts w:asciiTheme="majorHAnsi" w:hAnsiTheme="majorHAnsi"/>
          <w:sz w:val="24"/>
          <w:szCs w:val="24"/>
          <w:lang w:val="es-MX"/>
        </w:rPr>
        <w:t>%</w:t>
      </w:r>
      <w:r w:rsidR="0063202F" w:rsidRPr="00B534E1">
        <w:rPr>
          <w:rFonts w:asciiTheme="majorHAnsi" w:hAnsiTheme="majorHAnsi"/>
          <w:sz w:val="24"/>
          <w:szCs w:val="24"/>
          <w:lang w:val="es-MX"/>
        </w:rPr>
        <w:t>.</w:t>
      </w:r>
    </w:p>
    <w:p w:rsidR="0063202F" w:rsidRPr="00B534E1" w:rsidRDefault="0063202F" w:rsidP="0063202F">
      <w:pPr>
        <w:pStyle w:val="Prrafodelista"/>
        <w:spacing w:after="0" w:line="240" w:lineRule="auto"/>
        <w:ind w:left="1080"/>
        <w:jc w:val="both"/>
        <w:rPr>
          <w:rFonts w:asciiTheme="majorHAnsi" w:hAnsiTheme="majorHAnsi"/>
          <w:sz w:val="24"/>
          <w:szCs w:val="24"/>
          <w:lang w:val="es-MX"/>
        </w:rPr>
      </w:pPr>
    </w:p>
    <w:p w:rsidR="005C23E9" w:rsidRPr="00B534E1" w:rsidRDefault="005C23E9" w:rsidP="005C23E9">
      <w:pPr>
        <w:pStyle w:val="Prrafodelista"/>
        <w:numPr>
          <w:ilvl w:val="1"/>
          <w:numId w:val="1"/>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En el artículo primero transitorio se señala que si el permiso se otorga antes del 31 de diciembre de 2017, </w:t>
      </w:r>
      <w:r w:rsidRPr="00B534E1">
        <w:rPr>
          <w:rFonts w:asciiTheme="majorHAnsi" w:hAnsiTheme="majorHAnsi"/>
          <w:i/>
          <w:sz w:val="24"/>
          <w:szCs w:val="24"/>
          <w:lang w:val="es-MX"/>
        </w:rPr>
        <w:t>“</w:t>
      </w:r>
      <w:r w:rsidR="004A7153" w:rsidRPr="00B534E1">
        <w:rPr>
          <w:rFonts w:asciiTheme="majorHAnsi" w:hAnsiTheme="majorHAnsi"/>
          <w:i/>
          <w:sz w:val="24"/>
          <w:szCs w:val="24"/>
          <w:lang w:val="es-MX"/>
        </w:rPr>
        <w:t>…</w:t>
      </w:r>
      <w:r w:rsidRPr="00B534E1">
        <w:rPr>
          <w:rFonts w:asciiTheme="majorHAnsi" w:hAnsiTheme="majorHAnsi"/>
          <w:i/>
          <w:sz w:val="24"/>
          <w:szCs w:val="24"/>
          <w:lang w:val="es-MX"/>
        </w:rPr>
        <w:t>el pago de la oferta económica anual comprometida por el operador deberá efectuarse a partir del mes de enero de 2018 y hasta el final de permiso de operación”</w:t>
      </w:r>
      <w:r w:rsidRPr="00B534E1">
        <w:rPr>
          <w:rFonts w:asciiTheme="majorHAnsi" w:hAnsiTheme="majorHAnsi"/>
          <w:sz w:val="24"/>
          <w:szCs w:val="24"/>
          <w:lang w:val="es-MX"/>
        </w:rPr>
        <w:t xml:space="preserve">, es decir, </w:t>
      </w:r>
      <w:r w:rsidR="004A7153" w:rsidRPr="00B534E1">
        <w:rPr>
          <w:rFonts w:asciiTheme="majorHAnsi" w:hAnsiTheme="majorHAnsi"/>
          <w:sz w:val="24"/>
          <w:szCs w:val="24"/>
          <w:lang w:val="es-MX"/>
        </w:rPr>
        <w:t xml:space="preserve">una sociedad operadora </w:t>
      </w:r>
      <w:r w:rsidRPr="00B534E1">
        <w:rPr>
          <w:rFonts w:asciiTheme="majorHAnsi" w:hAnsiTheme="majorHAnsi"/>
          <w:sz w:val="24"/>
          <w:szCs w:val="24"/>
          <w:lang w:val="es-MX"/>
        </w:rPr>
        <w:t>podría estar pagando sin que el casino de juego haya entrado en operación y por un lapso que exced</w:t>
      </w:r>
      <w:r w:rsidR="004A7153" w:rsidRPr="00B534E1">
        <w:rPr>
          <w:rFonts w:asciiTheme="majorHAnsi" w:hAnsiTheme="majorHAnsi"/>
          <w:sz w:val="24"/>
          <w:szCs w:val="24"/>
          <w:lang w:val="es-MX"/>
        </w:rPr>
        <w:t>e</w:t>
      </w:r>
      <w:r w:rsidRPr="00B534E1">
        <w:rPr>
          <w:rFonts w:asciiTheme="majorHAnsi" w:hAnsiTheme="majorHAnsi"/>
          <w:sz w:val="24"/>
          <w:szCs w:val="24"/>
          <w:lang w:val="es-MX"/>
        </w:rPr>
        <w:t xml:space="preserve"> los 15 años de operación.</w:t>
      </w:r>
    </w:p>
    <w:p w:rsidR="005C23E9" w:rsidRPr="00B534E1" w:rsidRDefault="005C23E9" w:rsidP="005C23E9">
      <w:pPr>
        <w:pStyle w:val="Prrafodelista"/>
        <w:spacing w:after="0" w:line="240" w:lineRule="auto"/>
        <w:rPr>
          <w:rFonts w:asciiTheme="majorHAnsi" w:hAnsiTheme="majorHAnsi"/>
          <w:sz w:val="24"/>
          <w:szCs w:val="24"/>
          <w:lang w:val="es-MX"/>
        </w:rPr>
      </w:pPr>
    </w:p>
    <w:p w:rsidR="00B95414" w:rsidRPr="00B534E1" w:rsidRDefault="005C23E9" w:rsidP="005C23E9">
      <w:pPr>
        <w:spacing w:after="0" w:line="240" w:lineRule="auto"/>
        <w:ind w:left="1134"/>
        <w:jc w:val="both"/>
        <w:rPr>
          <w:rFonts w:asciiTheme="majorHAnsi" w:hAnsiTheme="majorHAnsi"/>
          <w:sz w:val="24"/>
          <w:szCs w:val="24"/>
          <w:lang w:val="es-MX"/>
        </w:rPr>
      </w:pPr>
      <w:r w:rsidRPr="00B534E1">
        <w:rPr>
          <w:rFonts w:asciiTheme="majorHAnsi" w:hAnsiTheme="majorHAnsi"/>
          <w:sz w:val="24"/>
          <w:szCs w:val="24"/>
          <w:lang w:val="es-MX"/>
        </w:rPr>
        <w:t>Esta exigenc</w:t>
      </w:r>
      <w:r w:rsidR="00E54383" w:rsidRPr="00B534E1">
        <w:rPr>
          <w:rFonts w:asciiTheme="majorHAnsi" w:hAnsiTheme="majorHAnsi"/>
          <w:sz w:val="24"/>
          <w:szCs w:val="24"/>
          <w:lang w:val="es-MX"/>
        </w:rPr>
        <w:t>ia modifica</w:t>
      </w:r>
      <w:r w:rsidR="00B95414" w:rsidRPr="00B534E1">
        <w:rPr>
          <w:rFonts w:asciiTheme="majorHAnsi" w:hAnsiTheme="majorHAnsi"/>
          <w:sz w:val="24"/>
          <w:szCs w:val="24"/>
          <w:lang w:val="es-MX"/>
        </w:rPr>
        <w:t xml:space="preserve"> lo estipulado en la ley, ya que ésta define a la oferta económica como </w:t>
      </w:r>
      <w:r w:rsidR="00E54383" w:rsidRPr="00B534E1">
        <w:rPr>
          <w:rFonts w:asciiTheme="majorHAnsi" w:hAnsiTheme="majorHAnsi"/>
          <w:i/>
          <w:sz w:val="24"/>
          <w:szCs w:val="24"/>
          <w:lang w:val="es-MX"/>
        </w:rPr>
        <w:t>“</w:t>
      </w:r>
      <w:r w:rsidR="004A7153" w:rsidRPr="00B534E1">
        <w:rPr>
          <w:rFonts w:asciiTheme="majorHAnsi" w:hAnsiTheme="majorHAnsi"/>
          <w:i/>
          <w:sz w:val="24"/>
          <w:szCs w:val="24"/>
          <w:lang w:val="es-MX"/>
        </w:rPr>
        <w:t>…</w:t>
      </w:r>
      <w:r w:rsidR="00E54383" w:rsidRPr="00B534E1">
        <w:rPr>
          <w:rFonts w:asciiTheme="majorHAnsi" w:hAnsiTheme="majorHAnsi"/>
          <w:i/>
          <w:sz w:val="24"/>
          <w:szCs w:val="24"/>
          <w:lang w:val="es-MX"/>
        </w:rPr>
        <w:t>un monto de dinero expresado en unidades de fomento”</w:t>
      </w:r>
      <w:r w:rsidR="00E54383" w:rsidRPr="00B534E1">
        <w:rPr>
          <w:rStyle w:val="Refdenotaalpie"/>
          <w:rFonts w:asciiTheme="majorHAnsi" w:hAnsiTheme="majorHAnsi"/>
          <w:sz w:val="24"/>
          <w:szCs w:val="24"/>
          <w:lang w:val="es-MX"/>
        </w:rPr>
        <w:footnoteReference w:id="2"/>
      </w:r>
      <w:r w:rsidR="00E54383" w:rsidRPr="00B534E1">
        <w:rPr>
          <w:rFonts w:asciiTheme="majorHAnsi" w:hAnsiTheme="majorHAnsi"/>
          <w:sz w:val="24"/>
          <w:szCs w:val="24"/>
          <w:lang w:val="es-MX"/>
        </w:rPr>
        <w:t>, pero según la condición establecida en el artículo primero transitorio no es posible definir un monto de dinero, ya que serán cuotas anuales, desconociéndose el número de cuotas.</w:t>
      </w:r>
    </w:p>
    <w:p w:rsidR="00B95414" w:rsidRPr="00B534E1" w:rsidRDefault="00B95414" w:rsidP="005C23E9">
      <w:pPr>
        <w:spacing w:after="0" w:line="240" w:lineRule="auto"/>
        <w:ind w:left="1134"/>
        <w:jc w:val="both"/>
        <w:rPr>
          <w:rFonts w:asciiTheme="majorHAnsi" w:hAnsiTheme="majorHAnsi"/>
          <w:sz w:val="24"/>
          <w:szCs w:val="24"/>
          <w:lang w:val="es-MX"/>
        </w:rPr>
      </w:pPr>
    </w:p>
    <w:p w:rsidR="005C23E9" w:rsidRPr="00B534E1" w:rsidRDefault="00E54383" w:rsidP="005C23E9">
      <w:pPr>
        <w:spacing w:after="0" w:line="240" w:lineRule="auto"/>
        <w:ind w:left="1134"/>
        <w:jc w:val="both"/>
        <w:rPr>
          <w:rFonts w:asciiTheme="majorHAnsi" w:hAnsiTheme="majorHAnsi"/>
          <w:sz w:val="24"/>
          <w:szCs w:val="24"/>
          <w:lang w:val="es-MX"/>
        </w:rPr>
      </w:pPr>
      <w:r w:rsidRPr="00B534E1">
        <w:rPr>
          <w:rFonts w:asciiTheme="majorHAnsi" w:hAnsiTheme="majorHAnsi"/>
          <w:sz w:val="24"/>
          <w:szCs w:val="24"/>
          <w:lang w:val="es-MX"/>
        </w:rPr>
        <w:t>Por lo tanto, se está</w:t>
      </w:r>
      <w:r w:rsidR="005C23E9" w:rsidRPr="00B534E1">
        <w:rPr>
          <w:rFonts w:asciiTheme="majorHAnsi" w:hAnsiTheme="majorHAnsi"/>
          <w:sz w:val="24"/>
          <w:szCs w:val="24"/>
          <w:lang w:val="es-MX"/>
        </w:rPr>
        <w:t xml:space="preserve"> modificando, a través del reglamento, la definición de oferta económica, ya que de un monto cierto se pasa a cuotas anuales, pero </w:t>
      </w:r>
      <w:r w:rsidR="0009059A" w:rsidRPr="00B534E1">
        <w:rPr>
          <w:rFonts w:asciiTheme="majorHAnsi" w:hAnsiTheme="majorHAnsi"/>
          <w:sz w:val="24"/>
          <w:szCs w:val="24"/>
          <w:lang w:val="es-MX"/>
        </w:rPr>
        <w:t xml:space="preserve">al </w:t>
      </w:r>
      <w:r w:rsidR="005C23E9" w:rsidRPr="00B534E1">
        <w:rPr>
          <w:rFonts w:asciiTheme="majorHAnsi" w:hAnsiTheme="majorHAnsi"/>
          <w:sz w:val="24"/>
          <w:szCs w:val="24"/>
          <w:lang w:val="es-MX"/>
        </w:rPr>
        <w:t>desconoce</w:t>
      </w:r>
      <w:r w:rsidR="0009059A" w:rsidRPr="00B534E1">
        <w:rPr>
          <w:rFonts w:asciiTheme="majorHAnsi" w:hAnsiTheme="majorHAnsi"/>
          <w:sz w:val="24"/>
          <w:szCs w:val="24"/>
          <w:lang w:val="es-MX"/>
        </w:rPr>
        <w:t>rse</w:t>
      </w:r>
      <w:r w:rsidR="005C23E9" w:rsidRPr="00B534E1">
        <w:rPr>
          <w:rFonts w:asciiTheme="majorHAnsi" w:hAnsiTheme="majorHAnsi"/>
          <w:sz w:val="24"/>
          <w:szCs w:val="24"/>
          <w:lang w:val="es-MX"/>
        </w:rPr>
        <w:t xml:space="preserve"> el número de cuotas, </w:t>
      </w:r>
      <w:r w:rsidR="0009059A" w:rsidRPr="00B534E1">
        <w:rPr>
          <w:rFonts w:asciiTheme="majorHAnsi" w:hAnsiTheme="majorHAnsi"/>
          <w:sz w:val="24"/>
          <w:szCs w:val="24"/>
          <w:lang w:val="es-MX"/>
        </w:rPr>
        <w:t xml:space="preserve">se afectaría </w:t>
      </w:r>
      <w:r w:rsidR="005C23E9" w:rsidRPr="00B534E1">
        <w:rPr>
          <w:rFonts w:asciiTheme="majorHAnsi" w:hAnsiTheme="majorHAnsi"/>
          <w:sz w:val="24"/>
          <w:szCs w:val="24"/>
          <w:lang w:val="es-MX"/>
        </w:rPr>
        <w:t>el valor del monto de la oferta económica.</w:t>
      </w:r>
    </w:p>
    <w:p w:rsidR="003A1A22" w:rsidRPr="00B534E1" w:rsidRDefault="003A1A22" w:rsidP="005C23E9">
      <w:pPr>
        <w:spacing w:after="0" w:line="240" w:lineRule="auto"/>
        <w:ind w:left="1134"/>
        <w:jc w:val="both"/>
        <w:rPr>
          <w:rFonts w:asciiTheme="majorHAnsi" w:hAnsiTheme="majorHAnsi"/>
          <w:sz w:val="24"/>
          <w:szCs w:val="24"/>
          <w:lang w:val="es-MX"/>
        </w:rPr>
      </w:pPr>
    </w:p>
    <w:p w:rsidR="003A1A22" w:rsidRDefault="003A1A22" w:rsidP="005C23E9">
      <w:pPr>
        <w:spacing w:after="0" w:line="240" w:lineRule="auto"/>
        <w:ind w:left="1134"/>
        <w:jc w:val="both"/>
        <w:rPr>
          <w:rFonts w:asciiTheme="majorHAnsi" w:hAnsiTheme="majorHAnsi"/>
          <w:sz w:val="24"/>
          <w:szCs w:val="24"/>
          <w:lang w:val="es-MX"/>
        </w:rPr>
      </w:pPr>
      <w:r w:rsidRPr="00B534E1">
        <w:rPr>
          <w:rFonts w:asciiTheme="majorHAnsi" w:hAnsiTheme="majorHAnsi"/>
          <w:sz w:val="24"/>
          <w:szCs w:val="24"/>
          <w:lang w:val="es-MX"/>
        </w:rPr>
        <w:t>Ad</w:t>
      </w:r>
      <w:r w:rsidR="008B492F" w:rsidRPr="00B534E1">
        <w:rPr>
          <w:rFonts w:asciiTheme="majorHAnsi" w:hAnsiTheme="majorHAnsi"/>
          <w:sz w:val="24"/>
          <w:szCs w:val="24"/>
          <w:lang w:val="es-MX"/>
        </w:rPr>
        <w:t>icionalmente</w:t>
      </w:r>
      <w:r w:rsidRPr="00B534E1">
        <w:rPr>
          <w:rFonts w:asciiTheme="majorHAnsi" w:hAnsiTheme="majorHAnsi"/>
          <w:sz w:val="24"/>
          <w:szCs w:val="24"/>
          <w:lang w:val="es-MX"/>
        </w:rPr>
        <w:t xml:space="preserve">, este artículo transitorio es contradictorio con el artículo 14 </w:t>
      </w:r>
      <w:r w:rsidR="0009059A" w:rsidRPr="00B534E1">
        <w:rPr>
          <w:rFonts w:asciiTheme="majorHAnsi" w:hAnsiTheme="majorHAnsi"/>
          <w:sz w:val="24"/>
          <w:szCs w:val="24"/>
          <w:lang w:val="es-MX"/>
        </w:rPr>
        <w:t xml:space="preserve">y con el artículo 15 letra a) </w:t>
      </w:r>
      <w:r w:rsidRPr="00B534E1">
        <w:rPr>
          <w:rFonts w:asciiTheme="majorHAnsi" w:hAnsiTheme="majorHAnsi"/>
          <w:sz w:val="24"/>
          <w:szCs w:val="24"/>
          <w:lang w:val="es-MX"/>
        </w:rPr>
        <w:t>que norma</w:t>
      </w:r>
      <w:r w:rsidR="0009059A" w:rsidRPr="00B534E1">
        <w:rPr>
          <w:rFonts w:asciiTheme="majorHAnsi" w:hAnsiTheme="majorHAnsi"/>
          <w:sz w:val="24"/>
          <w:szCs w:val="24"/>
          <w:lang w:val="es-MX"/>
        </w:rPr>
        <w:t>n</w:t>
      </w:r>
      <w:r w:rsidRPr="00B534E1">
        <w:rPr>
          <w:rFonts w:asciiTheme="majorHAnsi" w:hAnsiTheme="majorHAnsi"/>
          <w:sz w:val="24"/>
          <w:szCs w:val="24"/>
          <w:lang w:val="es-MX"/>
        </w:rPr>
        <w:t xml:space="preserve"> el régimen permanente, tanto en términos de la definición de oferta económica</w:t>
      </w:r>
      <w:r w:rsidR="0007578A" w:rsidRPr="00B534E1">
        <w:rPr>
          <w:rFonts w:asciiTheme="majorHAnsi" w:hAnsiTheme="majorHAnsi"/>
          <w:sz w:val="24"/>
          <w:szCs w:val="24"/>
          <w:lang w:val="es-MX"/>
        </w:rPr>
        <w:t>,</w:t>
      </w:r>
      <w:r w:rsidRPr="00B534E1">
        <w:rPr>
          <w:rFonts w:asciiTheme="majorHAnsi" w:hAnsiTheme="majorHAnsi"/>
          <w:sz w:val="24"/>
          <w:szCs w:val="24"/>
          <w:lang w:val="es-MX"/>
        </w:rPr>
        <w:t xml:space="preserve"> </w:t>
      </w:r>
      <w:r w:rsidRPr="00B534E1">
        <w:rPr>
          <w:rFonts w:asciiTheme="majorHAnsi" w:hAnsiTheme="majorHAnsi"/>
          <w:sz w:val="24"/>
          <w:szCs w:val="24"/>
          <w:lang w:val="es-MX"/>
        </w:rPr>
        <w:lastRenderedPageBreak/>
        <w:t>en</w:t>
      </w:r>
      <w:r w:rsidR="008B492F" w:rsidRPr="00B534E1">
        <w:rPr>
          <w:rFonts w:asciiTheme="majorHAnsi" w:hAnsiTheme="majorHAnsi"/>
          <w:sz w:val="24"/>
          <w:szCs w:val="24"/>
          <w:lang w:val="es-MX"/>
        </w:rPr>
        <w:t xml:space="preserve"> la cantidad de cuotas a pagar y</w:t>
      </w:r>
      <w:r w:rsidR="0007578A" w:rsidRPr="00B534E1">
        <w:rPr>
          <w:rFonts w:asciiTheme="majorHAnsi" w:hAnsiTheme="majorHAnsi"/>
          <w:sz w:val="24"/>
          <w:szCs w:val="24"/>
          <w:lang w:val="es-MX"/>
        </w:rPr>
        <w:t>, en las condiciones del período de pago.</w:t>
      </w:r>
      <w:r w:rsidR="008B492F" w:rsidRPr="00B534E1">
        <w:rPr>
          <w:rFonts w:asciiTheme="majorHAnsi" w:hAnsiTheme="majorHAnsi"/>
          <w:sz w:val="24"/>
          <w:szCs w:val="24"/>
          <w:lang w:val="es-MX"/>
        </w:rPr>
        <w:t xml:space="preserve"> </w:t>
      </w:r>
    </w:p>
    <w:p w:rsidR="00160202" w:rsidRDefault="00160202" w:rsidP="005C23E9">
      <w:pPr>
        <w:spacing w:after="0" w:line="240" w:lineRule="auto"/>
        <w:ind w:left="1134"/>
        <w:jc w:val="both"/>
        <w:rPr>
          <w:rFonts w:asciiTheme="majorHAnsi" w:hAnsiTheme="majorHAnsi"/>
          <w:sz w:val="24"/>
          <w:szCs w:val="24"/>
          <w:lang w:val="es-MX"/>
        </w:rPr>
      </w:pPr>
    </w:p>
    <w:p w:rsidR="00160202" w:rsidRPr="00B534E1" w:rsidRDefault="00160202" w:rsidP="005C23E9">
      <w:pPr>
        <w:spacing w:after="0" w:line="240" w:lineRule="auto"/>
        <w:ind w:left="1134"/>
        <w:jc w:val="both"/>
        <w:rPr>
          <w:rFonts w:asciiTheme="majorHAnsi" w:hAnsiTheme="majorHAnsi"/>
          <w:sz w:val="24"/>
          <w:szCs w:val="24"/>
          <w:lang w:val="es-MX"/>
        </w:rPr>
      </w:pPr>
      <w:r>
        <w:rPr>
          <w:rFonts w:asciiTheme="majorHAnsi" w:hAnsiTheme="majorHAnsi"/>
          <w:sz w:val="24"/>
          <w:szCs w:val="24"/>
          <w:lang w:val="es-MX"/>
        </w:rPr>
        <w:t xml:space="preserve">Por las razones expuestas, se propone que se aplique la ley y que, en consecuencia, el pago de la oferta económica  sólo se comience a efectuar a partir del inicio de las operaciones del casino juego correspondiente. Una solución distinta sería --además de ilegal-- inconstitucional pues afectaría el derecho de propiedad de las sociedades operadoras. </w:t>
      </w:r>
    </w:p>
    <w:p w:rsidR="009D03E3" w:rsidRPr="00B534E1" w:rsidRDefault="009D03E3" w:rsidP="009D03E3">
      <w:pPr>
        <w:pStyle w:val="Prrafodelista"/>
        <w:spacing w:after="0" w:line="240" w:lineRule="auto"/>
        <w:ind w:left="360"/>
        <w:jc w:val="both"/>
        <w:rPr>
          <w:rFonts w:asciiTheme="majorHAnsi" w:hAnsiTheme="majorHAnsi"/>
          <w:sz w:val="24"/>
          <w:szCs w:val="24"/>
          <w:lang w:val="es-MX"/>
        </w:rPr>
      </w:pPr>
    </w:p>
    <w:p w:rsidR="00E12C45" w:rsidRPr="00B534E1" w:rsidRDefault="00E12C45" w:rsidP="0009059A">
      <w:pPr>
        <w:pStyle w:val="Prrafodelista"/>
        <w:numPr>
          <w:ilvl w:val="0"/>
          <w:numId w:val="7"/>
        </w:numPr>
        <w:spacing w:after="0" w:line="240" w:lineRule="auto"/>
        <w:jc w:val="both"/>
        <w:rPr>
          <w:rFonts w:asciiTheme="majorHAnsi" w:hAnsiTheme="majorHAnsi"/>
          <w:b/>
          <w:sz w:val="24"/>
          <w:szCs w:val="24"/>
          <w:lang w:val="es-MX"/>
        </w:rPr>
      </w:pPr>
      <w:r w:rsidRPr="00B534E1">
        <w:rPr>
          <w:rFonts w:asciiTheme="majorHAnsi" w:hAnsiTheme="majorHAnsi"/>
          <w:b/>
          <w:sz w:val="24"/>
          <w:szCs w:val="24"/>
          <w:lang w:val="es-MX"/>
        </w:rPr>
        <w:t>Situaciones que requieren aclaración</w:t>
      </w:r>
      <w:r w:rsidR="002D1A05">
        <w:rPr>
          <w:rFonts w:asciiTheme="majorHAnsi" w:hAnsiTheme="majorHAnsi"/>
          <w:b/>
          <w:sz w:val="24"/>
          <w:szCs w:val="24"/>
          <w:lang w:val="es-MX"/>
        </w:rPr>
        <w:t>.</w:t>
      </w:r>
      <w:r w:rsidR="00347404" w:rsidRPr="00B534E1">
        <w:rPr>
          <w:rFonts w:asciiTheme="majorHAnsi" w:hAnsiTheme="majorHAnsi"/>
          <w:b/>
          <w:sz w:val="24"/>
          <w:szCs w:val="24"/>
          <w:lang w:val="es-MX"/>
        </w:rPr>
        <w:t xml:space="preserve"> </w:t>
      </w:r>
    </w:p>
    <w:p w:rsidR="00E12C45" w:rsidRPr="00B534E1" w:rsidRDefault="00E12C45" w:rsidP="00E12C45">
      <w:pPr>
        <w:pStyle w:val="Prrafodelista"/>
        <w:spacing w:after="0" w:line="240" w:lineRule="auto"/>
        <w:ind w:left="360"/>
        <w:jc w:val="both"/>
        <w:rPr>
          <w:rFonts w:asciiTheme="majorHAnsi" w:hAnsiTheme="majorHAnsi"/>
          <w:sz w:val="24"/>
          <w:szCs w:val="24"/>
          <w:lang w:val="es-MX"/>
        </w:rPr>
      </w:pPr>
    </w:p>
    <w:p w:rsidR="0009059A" w:rsidRPr="00B534E1" w:rsidRDefault="009D03E3" w:rsidP="0009059A">
      <w:pPr>
        <w:pStyle w:val="Prrafodelista"/>
        <w:numPr>
          <w:ilvl w:val="0"/>
          <w:numId w:val="8"/>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En el</w:t>
      </w:r>
      <w:r w:rsidR="00E12C45" w:rsidRPr="00B534E1">
        <w:rPr>
          <w:rFonts w:asciiTheme="majorHAnsi" w:hAnsiTheme="majorHAnsi"/>
          <w:sz w:val="24"/>
          <w:szCs w:val="24"/>
          <w:lang w:val="es-MX"/>
        </w:rPr>
        <w:t xml:space="preserve"> artículo 8, segundo</w:t>
      </w:r>
      <w:r w:rsidRPr="00B534E1">
        <w:rPr>
          <w:rFonts w:asciiTheme="majorHAnsi" w:hAnsiTheme="majorHAnsi"/>
          <w:sz w:val="24"/>
          <w:szCs w:val="24"/>
          <w:lang w:val="es-MX"/>
        </w:rPr>
        <w:t xml:space="preserve"> inciso</w:t>
      </w:r>
      <w:r w:rsidR="00E12C45" w:rsidRPr="00B534E1">
        <w:rPr>
          <w:rFonts w:asciiTheme="majorHAnsi" w:hAnsiTheme="majorHAnsi"/>
          <w:sz w:val="24"/>
          <w:szCs w:val="24"/>
          <w:lang w:val="es-MX"/>
        </w:rPr>
        <w:t>,</w:t>
      </w:r>
      <w:r w:rsidRPr="00B534E1">
        <w:rPr>
          <w:rFonts w:asciiTheme="majorHAnsi" w:hAnsiTheme="majorHAnsi"/>
          <w:sz w:val="24"/>
          <w:szCs w:val="24"/>
          <w:lang w:val="es-MX"/>
        </w:rPr>
        <w:t xml:space="preserve"> se señala que solo se </w:t>
      </w:r>
      <w:r w:rsidR="00FD6E45" w:rsidRPr="00B534E1">
        <w:rPr>
          <w:rFonts w:asciiTheme="majorHAnsi" w:hAnsiTheme="majorHAnsi"/>
          <w:sz w:val="24"/>
          <w:szCs w:val="24"/>
          <w:lang w:val="es-MX"/>
        </w:rPr>
        <w:t xml:space="preserve">considerarán las obras e instalaciones </w:t>
      </w:r>
      <w:r w:rsidR="00264AC2" w:rsidRPr="00B534E1">
        <w:rPr>
          <w:rFonts w:asciiTheme="majorHAnsi" w:hAnsiTheme="majorHAnsi"/>
          <w:sz w:val="24"/>
          <w:szCs w:val="24"/>
          <w:lang w:val="es-MX"/>
        </w:rPr>
        <w:t xml:space="preserve">que </w:t>
      </w:r>
      <w:r w:rsidR="00FD6E45" w:rsidRPr="00B534E1">
        <w:rPr>
          <w:rFonts w:asciiTheme="majorHAnsi" w:hAnsiTheme="majorHAnsi"/>
          <w:i/>
          <w:sz w:val="24"/>
          <w:szCs w:val="24"/>
          <w:lang w:val="es-MX"/>
        </w:rPr>
        <w:t>“</w:t>
      </w:r>
      <w:r w:rsidR="0009059A" w:rsidRPr="00B534E1">
        <w:rPr>
          <w:rFonts w:asciiTheme="majorHAnsi" w:hAnsiTheme="majorHAnsi"/>
          <w:i/>
          <w:sz w:val="24"/>
          <w:szCs w:val="24"/>
          <w:lang w:val="es-MX"/>
        </w:rPr>
        <w:t>…</w:t>
      </w:r>
      <w:r w:rsidR="00264AC2" w:rsidRPr="00B534E1">
        <w:rPr>
          <w:rFonts w:asciiTheme="majorHAnsi" w:hAnsiTheme="majorHAnsi"/>
          <w:i/>
          <w:sz w:val="24"/>
          <w:szCs w:val="24"/>
          <w:lang w:val="es-MX"/>
        </w:rPr>
        <w:t>a la fecha de apertura de las ofertas técnicas aún no cuenten con las autorizaciones territoriales correspondientes</w:t>
      </w:r>
      <w:r w:rsidR="00FD6E45" w:rsidRPr="00B534E1">
        <w:rPr>
          <w:rFonts w:asciiTheme="majorHAnsi" w:hAnsiTheme="majorHAnsi"/>
          <w:i/>
          <w:sz w:val="24"/>
          <w:szCs w:val="24"/>
          <w:lang w:val="es-MX"/>
        </w:rPr>
        <w:t>”</w:t>
      </w:r>
      <w:r w:rsidR="00FD6E45" w:rsidRPr="00B534E1">
        <w:rPr>
          <w:rFonts w:asciiTheme="majorHAnsi" w:hAnsiTheme="majorHAnsi"/>
          <w:sz w:val="24"/>
          <w:szCs w:val="24"/>
          <w:lang w:val="es-MX"/>
        </w:rPr>
        <w:t xml:space="preserve">. </w:t>
      </w:r>
    </w:p>
    <w:p w:rsidR="0009059A" w:rsidRPr="00B534E1" w:rsidRDefault="0009059A" w:rsidP="0009059A">
      <w:pPr>
        <w:pStyle w:val="Prrafodelista"/>
        <w:spacing w:after="0" w:line="240" w:lineRule="auto"/>
        <w:ind w:left="1080"/>
        <w:jc w:val="both"/>
        <w:rPr>
          <w:rFonts w:asciiTheme="majorHAnsi" w:hAnsiTheme="majorHAnsi"/>
          <w:sz w:val="24"/>
          <w:szCs w:val="24"/>
          <w:lang w:val="es-MX"/>
        </w:rPr>
      </w:pPr>
    </w:p>
    <w:p w:rsidR="00410A77" w:rsidRPr="00B534E1" w:rsidRDefault="00FD6E45" w:rsidP="0009059A">
      <w:pPr>
        <w:pStyle w:val="Prrafodelista"/>
        <w:spacing w:after="0" w:line="240" w:lineRule="auto"/>
        <w:ind w:left="1080"/>
        <w:jc w:val="both"/>
        <w:rPr>
          <w:rFonts w:asciiTheme="majorHAnsi" w:hAnsiTheme="majorHAnsi"/>
          <w:sz w:val="24"/>
          <w:szCs w:val="24"/>
          <w:lang w:val="es-MX"/>
        </w:rPr>
      </w:pPr>
      <w:r w:rsidRPr="00B534E1">
        <w:rPr>
          <w:rFonts w:asciiTheme="majorHAnsi" w:hAnsiTheme="majorHAnsi"/>
          <w:sz w:val="24"/>
          <w:szCs w:val="24"/>
          <w:lang w:val="es-MX"/>
        </w:rPr>
        <w:t xml:space="preserve">Es necesario </w:t>
      </w:r>
      <w:r w:rsidR="00E12C45" w:rsidRPr="00B534E1">
        <w:rPr>
          <w:rFonts w:asciiTheme="majorHAnsi" w:hAnsiTheme="majorHAnsi"/>
          <w:sz w:val="24"/>
          <w:szCs w:val="24"/>
          <w:lang w:val="es-MX"/>
        </w:rPr>
        <w:t>aclarar qué se entiende por</w:t>
      </w:r>
      <w:r w:rsidRPr="00B534E1">
        <w:rPr>
          <w:rFonts w:asciiTheme="majorHAnsi" w:hAnsiTheme="majorHAnsi"/>
          <w:sz w:val="24"/>
          <w:szCs w:val="24"/>
          <w:lang w:val="es-MX"/>
        </w:rPr>
        <w:t xml:space="preserve"> autorización territorial.</w:t>
      </w:r>
      <w:r w:rsidR="00E12C45" w:rsidRPr="00B534E1">
        <w:rPr>
          <w:rFonts w:asciiTheme="majorHAnsi" w:hAnsiTheme="majorHAnsi"/>
          <w:sz w:val="24"/>
          <w:szCs w:val="24"/>
          <w:lang w:val="es-MX"/>
        </w:rPr>
        <w:t xml:space="preserve"> </w:t>
      </w:r>
      <w:r w:rsidR="00160202">
        <w:rPr>
          <w:rFonts w:asciiTheme="majorHAnsi" w:hAnsiTheme="majorHAnsi"/>
          <w:sz w:val="24"/>
          <w:szCs w:val="24"/>
          <w:lang w:val="es-MX"/>
        </w:rPr>
        <w:t>Entendemos que con la expresión “</w:t>
      </w:r>
      <w:r w:rsidR="00160202" w:rsidRPr="00B534E1">
        <w:rPr>
          <w:rFonts w:asciiTheme="majorHAnsi" w:hAnsiTheme="majorHAnsi"/>
          <w:i/>
          <w:sz w:val="24"/>
          <w:szCs w:val="24"/>
          <w:lang w:val="es-MX"/>
        </w:rPr>
        <w:t>autorizaciones territoriales</w:t>
      </w:r>
      <w:r w:rsidR="00160202">
        <w:rPr>
          <w:rFonts w:asciiTheme="majorHAnsi" w:hAnsiTheme="majorHAnsi"/>
          <w:i/>
          <w:sz w:val="24"/>
          <w:szCs w:val="24"/>
          <w:lang w:val="es-MX"/>
        </w:rPr>
        <w:t xml:space="preserve">” </w:t>
      </w:r>
      <w:r w:rsidR="00160202" w:rsidRPr="00160202">
        <w:rPr>
          <w:rFonts w:asciiTheme="majorHAnsi" w:hAnsiTheme="majorHAnsi"/>
          <w:sz w:val="24"/>
          <w:szCs w:val="24"/>
          <w:lang w:val="es-MX"/>
        </w:rPr>
        <w:t>el reglamento se refiere a los permisos de edificación o de obras</w:t>
      </w:r>
      <w:r w:rsidR="00160202">
        <w:rPr>
          <w:rFonts w:asciiTheme="majorHAnsi" w:hAnsiTheme="majorHAnsi"/>
          <w:sz w:val="24"/>
          <w:szCs w:val="24"/>
          <w:lang w:val="es-MX"/>
        </w:rPr>
        <w:t xml:space="preserve">, pero </w:t>
      </w:r>
      <w:r w:rsidR="004522AA" w:rsidRPr="00B534E1">
        <w:rPr>
          <w:rFonts w:asciiTheme="majorHAnsi" w:hAnsiTheme="majorHAnsi"/>
          <w:sz w:val="24"/>
          <w:szCs w:val="24"/>
          <w:lang w:val="es-MX"/>
        </w:rPr>
        <w:t xml:space="preserve"> ¿Qué otro tipo de autorizaciones territoriales se </w:t>
      </w:r>
      <w:r w:rsidR="00160202">
        <w:rPr>
          <w:rFonts w:asciiTheme="majorHAnsi" w:hAnsiTheme="majorHAnsi"/>
          <w:sz w:val="24"/>
          <w:szCs w:val="24"/>
          <w:lang w:val="es-MX"/>
        </w:rPr>
        <w:t>entenderán dentro de este concepto</w:t>
      </w:r>
      <w:r w:rsidR="004522AA" w:rsidRPr="00B534E1">
        <w:rPr>
          <w:rFonts w:asciiTheme="majorHAnsi" w:hAnsiTheme="majorHAnsi"/>
          <w:sz w:val="24"/>
          <w:szCs w:val="24"/>
          <w:lang w:val="es-MX"/>
        </w:rPr>
        <w:t>?</w:t>
      </w:r>
    </w:p>
    <w:p w:rsidR="00410A77" w:rsidRPr="00B534E1" w:rsidRDefault="00410A77" w:rsidP="00410A77">
      <w:pPr>
        <w:pStyle w:val="Prrafodelista"/>
        <w:spacing w:after="0" w:line="240" w:lineRule="auto"/>
        <w:ind w:left="1080"/>
        <w:jc w:val="both"/>
        <w:rPr>
          <w:rFonts w:asciiTheme="majorHAnsi" w:hAnsiTheme="majorHAnsi"/>
          <w:sz w:val="24"/>
          <w:szCs w:val="24"/>
          <w:lang w:val="es-MX"/>
        </w:rPr>
      </w:pPr>
    </w:p>
    <w:p w:rsidR="0009059A" w:rsidRPr="00B534E1" w:rsidRDefault="0009059A" w:rsidP="0009059A">
      <w:pPr>
        <w:pStyle w:val="Prrafodelista"/>
        <w:numPr>
          <w:ilvl w:val="0"/>
          <w:numId w:val="8"/>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Adicionalmente, en el inciso 2° del artículo 8 se señala que el proyecto integral podrá comprender </w:t>
      </w:r>
      <w:r w:rsidRPr="00B534E1">
        <w:rPr>
          <w:rFonts w:asciiTheme="majorHAnsi" w:hAnsiTheme="majorHAnsi"/>
          <w:i/>
          <w:sz w:val="24"/>
          <w:szCs w:val="24"/>
          <w:lang w:val="es-MX"/>
        </w:rPr>
        <w:t xml:space="preserve">“…obras e instalaciones relevantes para el desarrollo </w:t>
      </w:r>
      <w:r w:rsidRPr="00E01EC4">
        <w:rPr>
          <w:rFonts w:asciiTheme="majorHAnsi" w:hAnsiTheme="majorHAnsi"/>
          <w:i/>
          <w:sz w:val="24"/>
          <w:szCs w:val="24"/>
          <w:u w:val="single"/>
          <w:lang w:val="es-MX"/>
        </w:rPr>
        <w:t>dentro de la comuna</w:t>
      </w:r>
      <w:r w:rsidRPr="00B534E1">
        <w:rPr>
          <w:rFonts w:asciiTheme="majorHAnsi" w:hAnsiTheme="majorHAnsi"/>
          <w:i/>
          <w:sz w:val="24"/>
          <w:szCs w:val="24"/>
          <w:lang w:val="es-MX"/>
        </w:rPr>
        <w:t xml:space="preserve">”. </w:t>
      </w:r>
      <w:r w:rsidRPr="00B534E1">
        <w:rPr>
          <w:rFonts w:asciiTheme="majorHAnsi" w:hAnsiTheme="majorHAnsi"/>
          <w:sz w:val="24"/>
          <w:szCs w:val="24"/>
          <w:lang w:val="es-MX"/>
        </w:rPr>
        <w:t>La duda que surge es: ¿si estas obras adicionales al proyecto de casinos de juego</w:t>
      </w:r>
      <w:r w:rsidR="00E01EC4">
        <w:rPr>
          <w:rFonts w:asciiTheme="majorHAnsi" w:hAnsiTheme="majorHAnsi"/>
          <w:sz w:val="24"/>
          <w:szCs w:val="24"/>
          <w:lang w:val="es-MX"/>
        </w:rPr>
        <w:t>, que forman parte del proyecto integral</w:t>
      </w:r>
      <w:r w:rsidRPr="00B534E1">
        <w:rPr>
          <w:rFonts w:asciiTheme="majorHAnsi" w:hAnsiTheme="majorHAnsi"/>
          <w:sz w:val="24"/>
          <w:szCs w:val="24"/>
          <w:lang w:val="es-MX"/>
        </w:rPr>
        <w:t xml:space="preserve"> y </w:t>
      </w:r>
      <w:r w:rsidR="00E01EC4">
        <w:rPr>
          <w:rFonts w:asciiTheme="majorHAnsi" w:hAnsiTheme="majorHAnsi"/>
          <w:sz w:val="24"/>
          <w:szCs w:val="24"/>
          <w:lang w:val="es-MX"/>
        </w:rPr>
        <w:t xml:space="preserve">que </w:t>
      </w:r>
      <w:r w:rsidRPr="00B534E1">
        <w:rPr>
          <w:rFonts w:asciiTheme="majorHAnsi" w:hAnsiTheme="majorHAnsi"/>
          <w:sz w:val="24"/>
          <w:szCs w:val="24"/>
          <w:lang w:val="es-MX"/>
        </w:rPr>
        <w:t>no vinculadas espacialmente con dicho establecimiento</w:t>
      </w:r>
      <w:r w:rsidR="00E01EC4">
        <w:rPr>
          <w:rFonts w:asciiTheme="majorHAnsi" w:hAnsiTheme="majorHAnsi"/>
          <w:sz w:val="24"/>
          <w:szCs w:val="24"/>
          <w:lang w:val="es-MX"/>
        </w:rPr>
        <w:t>,</w:t>
      </w:r>
      <w:r w:rsidRPr="00B534E1">
        <w:rPr>
          <w:rFonts w:asciiTheme="majorHAnsi" w:hAnsiTheme="majorHAnsi"/>
          <w:sz w:val="24"/>
          <w:szCs w:val="24"/>
          <w:lang w:val="es-MX"/>
        </w:rPr>
        <w:t xml:space="preserve"> podrán estar ubicadas en más de un lugar dentro de la </w:t>
      </w:r>
      <w:r w:rsidR="00E01EC4">
        <w:rPr>
          <w:rFonts w:asciiTheme="majorHAnsi" w:hAnsiTheme="majorHAnsi"/>
          <w:sz w:val="24"/>
          <w:szCs w:val="24"/>
          <w:lang w:val="es-MX"/>
        </w:rPr>
        <w:t xml:space="preserve">misma </w:t>
      </w:r>
      <w:r w:rsidRPr="00B534E1">
        <w:rPr>
          <w:rFonts w:asciiTheme="majorHAnsi" w:hAnsiTheme="majorHAnsi"/>
          <w:sz w:val="24"/>
          <w:szCs w:val="24"/>
          <w:lang w:val="es-MX"/>
        </w:rPr>
        <w:t xml:space="preserve">comuna?. </w:t>
      </w:r>
    </w:p>
    <w:p w:rsidR="0009059A" w:rsidRPr="00B534E1" w:rsidRDefault="0009059A" w:rsidP="0009059A">
      <w:pPr>
        <w:pStyle w:val="Prrafodelista"/>
        <w:spacing w:after="0" w:line="240" w:lineRule="auto"/>
        <w:ind w:left="1080"/>
        <w:jc w:val="both"/>
        <w:rPr>
          <w:rFonts w:asciiTheme="majorHAnsi" w:hAnsiTheme="majorHAnsi"/>
          <w:sz w:val="24"/>
          <w:szCs w:val="24"/>
          <w:lang w:val="es-MX"/>
        </w:rPr>
      </w:pPr>
    </w:p>
    <w:p w:rsidR="00410A77" w:rsidRPr="00B534E1" w:rsidRDefault="0096085C" w:rsidP="0009059A">
      <w:pPr>
        <w:pStyle w:val="Prrafodelista"/>
        <w:numPr>
          <w:ilvl w:val="0"/>
          <w:numId w:val="8"/>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En el artículo 9, letra i), se </w:t>
      </w:r>
      <w:r w:rsidR="007846BB" w:rsidRPr="00B534E1">
        <w:rPr>
          <w:rFonts w:asciiTheme="majorHAnsi" w:hAnsiTheme="majorHAnsi"/>
          <w:sz w:val="24"/>
          <w:szCs w:val="24"/>
          <w:lang w:val="es-MX"/>
        </w:rPr>
        <w:t xml:space="preserve">señala </w:t>
      </w:r>
      <w:r w:rsidRPr="00B534E1">
        <w:rPr>
          <w:rFonts w:asciiTheme="majorHAnsi" w:hAnsiTheme="majorHAnsi"/>
          <w:sz w:val="24"/>
          <w:szCs w:val="24"/>
          <w:lang w:val="es-MX"/>
        </w:rPr>
        <w:t xml:space="preserve">que </w:t>
      </w:r>
      <w:r w:rsidR="007846BB" w:rsidRPr="00B534E1">
        <w:rPr>
          <w:rFonts w:asciiTheme="majorHAnsi" w:hAnsiTheme="majorHAnsi"/>
          <w:sz w:val="24"/>
          <w:szCs w:val="24"/>
          <w:lang w:val="es-MX"/>
        </w:rPr>
        <w:t xml:space="preserve">un nuevo participe de la sociedad deberá someterse a la investigación de precalificación, pero se agrega que ello incluye la </w:t>
      </w:r>
      <w:r w:rsidR="007846BB" w:rsidRPr="00E01EC4">
        <w:rPr>
          <w:rFonts w:asciiTheme="majorHAnsi" w:hAnsiTheme="majorHAnsi"/>
          <w:i/>
          <w:sz w:val="24"/>
          <w:szCs w:val="24"/>
          <w:lang w:val="es-MX"/>
        </w:rPr>
        <w:t>“suficiencia de los capitales aportados”</w:t>
      </w:r>
      <w:r w:rsidR="007846BB" w:rsidRPr="00B534E1">
        <w:rPr>
          <w:rFonts w:asciiTheme="majorHAnsi" w:hAnsiTheme="majorHAnsi"/>
          <w:sz w:val="24"/>
          <w:szCs w:val="24"/>
          <w:lang w:val="es-MX"/>
        </w:rPr>
        <w:t xml:space="preserve">. Dado que se trata de una </w:t>
      </w:r>
      <w:r w:rsidR="00D25FB4" w:rsidRPr="00B534E1">
        <w:rPr>
          <w:rFonts w:asciiTheme="majorHAnsi" w:hAnsiTheme="majorHAnsi"/>
          <w:sz w:val="24"/>
          <w:szCs w:val="24"/>
          <w:lang w:val="es-MX"/>
        </w:rPr>
        <w:t>compra</w:t>
      </w:r>
      <w:r w:rsidR="007846BB" w:rsidRPr="00B534E1">
        <w:rPr>
          <w:rFonts w:asciiTheme="majorHAnsi" w:hAnsiTheme="majorHAnsi"/>
          <w:sz w:val="24"/>
          <w:szCs w:val="24"/>
          <w:lang w:val="es-MX"/>
        </w:rPr>
        <w:t xml:space="preserve"> de  acciones</w:t>
      </w:r>
      <w:r w:rsidR="00D25FB4" w:rsidRPr="00B534E1">
        <w:rPr>
          <w:rFonts w:asciiTheme="majorHAnsi" w:hAnsiTheme="majorHAnsi"/>
          <w:sz w:val="24"/>
          <w:szCs w:val="24"/>
          <w:lang w:val="es-MX"/>
        </w:rPr>
        <w:t xml:space="preserve">, </w:t>
      </w:r>
      <w:r w:rsidR="00410A77" w:rsidRPr="00B534E1">
        <w:rPr>
          <w:rFonts w:asciiTheme="majorHAnsi" w:hAnsiTheme="majorHAnsi"/>
          <w:sz w:val="24"/>
          <w:szCs w:val="24"/>
          <w:lang w:val="es-MX"/>
        </w:rPr>
        <w:t xml:space="preserve">donde existe un </w:t>
      </w:r>
      <w:r w:rsidR="00D25FB4" w:rsidRPr="00B534E1">
        <w:rPr>
          <w:rFonts w:asciiTheme="majorHAnsi" w:hAnsiTheme="majorHAnsi"/>
          <w:sz w:val="24"/>
          <w:szCs w:val="24"/>
          <w:lang w:val="es-MX"/>
        </w:rPr>
        <w:t xml:space="preserve">acuerdo entre las partes, </w:t>
      </w:r>
      <w:r w:rsidR="00410A77" w:rsidRPr="00B534E1">
        <w:rPr>
          <w:rFonts w:asciiTheme="majorHAnsi" w:hAnsiTheme="majorHAnsi"/>
          <w:sz w:val="24"/>
          <w:szCs w:val="24"/>
          <w:lang w:val="es-MX"/>
        </w:rPr>
        <w:t>¿</w:t>
      </w:r>
      <w:r w:rsidR="00D25FB4" w:rsidRPr="00B534E1">
        <w:rPr>
          <w:rFonts w:asciiTheme="majorHAnsi" w:hAnsiTheme="majorHAnsi"/>
          <w:sz w:val="24"/>
          <w:szCs w:val="24"/>
          <w:lang w:val="es-MX"/>
        </w:rPr>
        <w:t>qué sentido tiene investigar la suficiencia de dinero</w:t>
      </w:r>
      <w:r w:rsidR="004522AA" w:rsidRPr="00B534E1">
        <w:rPr>
          <w:rFonts w:asciiTheme="majorHAnsi" w:hAnsiTheme="majorHAnsi"/>
          <w:sz w:val="24"/>
          <w:szCs w:val="24"/>
          <w:lang w:val="es-MX"/>
        </w:rPr>
        <w:t>, si el comprador le pagó al vendedor?</w:t>
      </w:r>
    </w:p>
    <w:p w:rsidR="00410A77" w:rsidRPr="00B534E1" w:rsidRDefault="00410A77" w:rsidP="00410A77">
      <w:pPr>
        <w:pStyle w:val="Prrafodelista"/>
        <w:rPr>
          <w:rFonts w:asciiTheme="majorHAnsi" w:hAnsiTheme="majorHAnsi"/>
          <w:sz w:val="24"/>
          <w:szCs w:val="24"/>
          <w:lang w:val="es-MX"/>
        </w:rPr>
      </w:pPr>
    </w:p>
    <w:p w:rsidR="004E5F19" w:rsidRPr="00B534E1" w:rsidRDefault="00D25FB4" w:rsidP="00372FDB">
      <w:pPr>
        <w:pStyle w:val="Prrafodelista"/>
        <w:numPr>
          <w:ilvl w:val="0"/>
          <w:numId w:val="8"/>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En el artículo 13, letra d), se hace referencia a la Superintendencia de Liquidación y </w:t>
      </w:r>
      <w:proofErr w:type="spellStart"/>
      <w:r w:rsidRPr="00B534E1">
        <w:rPr>
          <w:rFonts w:asciiTheme="majorHAnsi" w:hAnsiTheme="majorHAnsi"/>
          <w:sz w:val="24"/>
          <w:szCs w:val="24"/>
          <w:lang w:val="es-MX"/>
        </w:rPr>
        <w:t>Reemprendimiento</w:t>
      </w:r>
      <w:proofErr w:type="spellEnd"/>
      <w:r w:rsidRPr="00B534E1">
        <w:rPr>
          <w:rFonts w:asciiTheme="majorHAnsi" w:hAnsiTheme="majorHAnsi"/>
          <w:sz w:val="24"/>
          <w:szCs w:val="24"/>
          <w:lang w:val="es-MX"/>
        </w:rPr>
        <w:t xml:space="preserve"> para verificar el cumplimiento de obligaciones tributarias. No se entiende dicha referencia.</w:t>
      </w:r>
      <w:r w:rsidR="00372FDB">
        <w:rPr>
          <w:rFonts w:asciiTheme="majorHAnsi" w:hAnsiTheme="majorHAnsi"/>
          <w:sz w:val="24"/>
          <w:szCs w:val="24"/>
          <w:lang w:val="es-MX"/>
        </w:rPr>
        <w:t xml:space="preserve"> Además, esta es una facultad con la que no cuenta la </w:t>
      </w:r>
      <w:r w:rsidR="00372FDB" w:rsidRPr="00372FDB">
        <w:rPr>
          <w:rFonts w:asciiTheme="majorHAnsi" w:hAnsiTheme="majorHAnsi"/>
          <w:sz w:val="24"/>
          <w:szCs w:val="24"/>
          <w:lang w:val="es-MX"/>
        </w:rPr>
        <w:t xml:space="preserve">Superintendencia de </w:t>
      </w:r>
      <w:r w:rsidR="00372FDB" w:rsidRPr="00372FDB">
        <w:rPr>
          <w:rFonts w:asciiTheme="majorHAnsi" w:hAnsiTheme="majorHAnsi"/>
          <w:sz w:val="24"/>
          <w:szCs w:val="24"/>
          <w:lang w:val="es-MX"/>
        </w:rPr>
        <w:lastRenderedPageBreak/>
        <w:t xml:space="preserve">Liquidación y </w:t>
      </w:r>
      <w:proofErr w:type="spellStart"/>
      <w:r w:rsidR="00372FDB" w:rsidRPr="00372FDB">
        <w:rPr>
          <w:rFonts w:asciiTheme="majorHAnsi" w:hAnsiTheme="majorHAnsi"/>
          <w:sz w:val="24"/>
          <w:szCs w:val="24"/>
          <w:lang w:val="es-MX"/>
        </w:rPr>
        <w:t>Reemprendimiento</w:t>
      </w:r>
      <w:proofErr w:type="spellEnd"/>
      <w:r w:rsidR="00372FDB" w:rsidRPr="00372FDB">
        <w:rPr>
          <w:rFonts w:asciiTheme="majorHAnsi" w:hAnsiTheme="majorHAnsi"/>
          <w:sz w:val="24"/>
          <w:szCs w:val="24"/>
          <w:lang w:val="es-MX"/>
        </w:rPr>
        <w:t xml:space="preserve"> </w:t>
      </w:r>
      <w:r w:rsidR="00372FDB">
        <w:rPr>
          <w:rFonts w:asciiTheme="majorHAnsi" w:hAnsiTheme="majorHAnsi"/>
          <w:sz w:val="24"/>
          <w:szCs w:val="24"/>
          <w:lang w:val="es-MX"/>
        </w:rPr>
        <w:t>de conformidad a lo preceptuado en el artículo 337 de la Ley N° 20.730.</w:t>
      </w:r>
    </w:p>
    <w:p w:rsidR="0009059A" w:rsidRPr="00B534E1" w:rsidRDefault="0009059A" w:rsidP="0009059A">
      <w:pPr>
        <w:pStyle w:val="Prrafodelista"/>
        <w:rPr>
          <w:rFonts w:asciiTheme="majorHAnsi" w:hAnsiTheme="majorHAnsi"/>
          <w:sz w:val="24"/>
          <w:szCs w:val="24"/>
          <w:lang w:val="es-MX"/>
        </w:rPr>
      </w:pPr>
    </w:p>
    <w:p w:rsidR="00372FDB" w:rsidRPr="00B87645" w:rsidRDefault="0009059A" w:rsidP="003F3018">
      <w:pPr>
        <w:pStyle w:val="Prrafodelista"/>
        <w:numPr>
          <w:ilvl w:val="0"/>
          <w:numId w:val="8"/>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Por otra parte, en el artículo 13, letra f) </w:t>
      </w:r>
      <w:r w:rsidR="003F3018" w:rsidRPr="00B534E1">
        <w:rPr>
          <w:rFonts w:asciiTheme="majorHAnsi" w:hAnsiTheme="majorHAnsi"/>
          <w:sz w:val="24"/>
          <w:szCs w:val="24"/>
          <w:lang w:val="es-MX"/>
        </w:rPr>
        <w:t xml:space="preserve">las sociedades postulantes deberán presentar los </w:t>
      </w:r>
      <w:r w:rsidR="003F3018" w:rsidRPr="00B534E1">
        <w:rPr>
          <w:rFonts w:asciiTheme="majorHAnsi" w:hAnsiTheme="majorHAnsi"/>
          <w:i/>
          <w:sz w:val="24"/>
          <w:szCs w:val="24"/>
          <w:lang w:val="es-MX"/>
        </w:rPr>
        <w:t xml:space="preserve">“…instrumentos en que conste el dominio, el arrendamiento o el comodato relativos al inmueble en que funcionará el casino de juego, o la promesa de celebrar dichos contratos”. </w:t>
      </w:r>
    </w:p>
    <w:p w:rsidR="00372FDB" w:rsidRPr="00B87645" w:rsidRDefault="00372FDB" w:rsidP="00B87645">
      <w:pPr>
        <w:pStyle w:val="Prrafodelista"/>
        <w:rPr>
          <w:rFonts w:asciiTheme="majorHAnsi" w:hAnsiTheme="majorHAnsi"/>
          <w:sz w:val="24"/>
          <w:szCs w:val="24"/>
          <w:lang w:val="es-MX"/>
        </w:rPr>
      </w:pPr>
    </w:p>
    <w:p w:rsidR="003F3018" w:rsidRPr="00B534E1" w:rsidRDefault="003F3018" w:rsidP="00B87645">
      <w:pPr>
        <w:pStyle w:val="Prrafodelista"/>
        <w:spacing w:after="0" w:line="240" w:lineRule="auto"/>
        <w:ind w:left="1080"/>
        <w:jc w:val="both"/>
        <w:rPr>
          <w:rFonts w:asciiTheme="majorHAnsi" w:hAnsiTheme="majorHAnsi"/>
          <w:sz w:val="24"/>
          <w:szCs w:val="24"/>
          <w:lang w:val="es-MX"/>
        </w:rPr>
      </w:pPr>
      <w:r w:rsidRPr="00B534E1">
        <w:rPr>
          <w:rFonts w:asciiTheme="majorHAnsi" w:hAnsiTheme="majorHAnsi"/>
          <w:sz w:val="24"/>
          <w:szCs w:val="24"/>
          <w:lang w:val="es-MX"/>
        </w:rPr>
        <w:t>¿No se establecerá la misma exigencia para el inmueble o los terrenos en los que se construirá el proyecto integral cuando no estén físicamente vinculados</w:t>
      </w:r>
      <w:proofErr w:type="gramStart"/>
      <w:r w:rsidRPr="00B534E1">
        <w:rPr>
          <w:rFonts w:asciiTheme="majorHAnsi" w:hAnsiTheme="majorHAnsi"/>
          <w:sz w:val="24"/>
          <w:szCs w:val="24"/>
          <w:lang w:val="es-MX"/>
        </w:rPr>
        <w:t>?.</w:t>
      </w:r>
      <w:proofErr w:type="gramEnd"/>
    </w:p>
    <w:p w:rsidR="003F3018" w:rsidRPr="00B534E1" w:rsidRDefault="003F3018" w:rsidP="003F3018">
      <w:pPr>
        <w:pStyle w:val="Prrafodelista"/>
        <w:rPr>
          <w:rFonts w:asciiTheme="majorHAnsi" w:hAnsiTheme="majorHAnsi"/>
          <w:sz w:val="24"/>
          <w:szCs w:val="24"/>
          <w:lang w:val="es-MX"/>
        </w:rPr>
      </w:pPr>
    </w:p>
    <w:p w:rsidR="0009059A" w:rsidRPr="00B534E1" w:rsidRDefault="003F3018" w:rsidP="003F3018">
      <w:pPr>
        <w:pStyle w:val="Prrafodelista"/>
        <w:numPr>
          <w:ilvl w:val="0"/>
          <w:numId w:val="8"/>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En el inciso 2° del artículo 21 se señala lo siguiente: “Para cumplir con lo señalado en los incisos anteriores,…”, sin embargo hay sólo un inciso antes que dicho inciso segundo.</w:t>
      </w:r>
    </w:p>
    <w:p w:rsidR="004E5F19" w:rsidRPr="00B534E1" w:rsidRDefault="004E5F19" w:rsidP="004E5F19">
      <w:pPr>
        <w:pStyle w:val="Prrafodelista"/>
        <w:rPr>
          <w:rFonts w:asciiTheme="majorHAnsi" w:hAnsiTheme="majorHAnsi"/>
          <w:sz w:val="24"/>
          <w:szCs w:val="24"/>
          <w:lang w:val="es-MX"/>
        </w:rPr>
      </w:pPr>
    </w:p>
    <w:p w:rsidR="003F3018" w:rsidRPr="00B534E1" w:rsidRDefault="004E5F19" w:rsidP="003F3018">
      <w:pPr>
        <w:pStyle w:val="Prrafodelista"/>
        <w:numPr>
          <w:ilvl w:val="0"/>
          <w:numId w:val="8"/>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En el artículo 25 </w:t>
      </w:r>
      <w:r w:rsidR="003F3018" w:rsidRPr="00B534E1">
        <w:rPr>
          <w:rFonts w:asciiTheme="majorHAnsi" w:hAnsiTheme="majorHAnsi"/>
          <w:sz w:val="24"/>
          <w:szCs w:val="24"/>
          <w:lang w:val="es-MX"/>
        </w:rPr>
        <w:t xml:space="preserve">letra b), se contempla como causales de exclusión el </w:t>
      </w:r>
      <w:r w:rsidR="003F3018" w:rsidRPr="00B534E1">
        <w:rPr>
          <w:rFonts w:asciiTheme="majorHAnsi" w:hAnsiTheme="majorHAnsi"/>
          <w:i/>
          <w:sz w:val="24"/>
          <w:szCs w:val="24"/>
          <w:lang w:val="es-MX"/>
        </w:rPr>
        <w:t>“haber sido, en los últimos quince años, director, gerente o accionista en una sociedad operadora a la cual se haya revocado su permiso de operación”</w:t>
      </w:r>
      <w:r w:rsidR="003F3018" w:rsidRPr="00B534E1">
        <w:rPr>
          <w:rFonts w:asciiTheme="majorHAnsi" w:hAnsiTheme="majorHAnsi"/>
          <w:sz w:val="24"/>
          <w:szCs w:val="24"/>
          <w:lang w:val="es-MX"/>
        </w:rPr>
        <w:t xml:space="preserve">. Con todo, esta causal sólo podría ser aplicable si la persona era director, gerente o accionista en una sociedad operadora precisamente en el momento en que a dicha sociedad se le revocó el permiso de operación. </w:t>
      </w:r>
      <w:r w:rsidR="00A80A7B" w:rsidRPr="00B534E1">
        <w:rPr>
          <w:rFonts w:asciiTheme="majorHAnsi" w:hAnsiTheme="majorHAnsi"/>
          <w:sz w:val="24"/>
          <w:szCs w:val="24"/>
          <w:lang w:val="es-MX"/>
        </w:rPr>
        <w:t>Tal cual está redactada la causal de exclusión</w:t>
      </w:r>
      <w:r w:rsidR="003F3018" w:rsidRPr="00B534E1">
        <w:rPr>
          <w:rFonts w:asciiTheme="majorHAnsi" w:hAnsiTheme="majorHAnsi"/>
          <w:sz w:val="24"/>
          <w:szCs w:val="24"/>
          <w:lang w:val="es-MX"/>
        </w:rPr>
        <w:t xml:space="preserve">, si una persona fue director, gerente o accionista en una sociedad operadora </w:t>
      </w:r>
      <w:r w:rsidR="00A80A7B" w:rsidRPr="00B534E1">
        <w:rPr>
          <w:rFonts w:asciiTheme="majorHAnsi" w:hAnsiTheme="majorHAnsi"/>
          <w:sz w:val="24"/>
          <w:szCs w:val="24"/>
          <w:lang w:val="es-MX"/>
        </w:rPr>
        <w:t xml:space="preserve">entre el año 2005 y el 2007 y a esa sociedad operadora </w:t>
      </w:r>
      <w:r w:rsidR="003F3018" w:rsidRPr="00B534E1">
        <w:rPr>
          <w:rFonts w:asciiTheme="majorHAnsi" w:hAnsiTheme="majorHAnsi"/>
          <w:sz w:val="24"/>
          <w:szCs w:val="24"/>
          <w:lang w:val="es-MX"/>
        </w:rPr>
        <w:t>se le revocó el permiso de operación</w:t>
      </w:r>
      <w:r w:rsidR="00A80A7B" w:rsidRPr="00B534E1">
        <w:rPr>
          <w:rFonts w:asciiTheme="majorHAnsi" w:hAnsiTheme="majorHAnsi"/>
          <w:sz w:val="24"/>
          <w:szCs w:val="24"/>
          <w:lang w:val="es-MX"/>
        </w:rPr>
        <w:t xml:space="preserve"> el año 2014, debería ser excluida lo que es a todas luces ilógico.</w:t>
      </w:r>
    </w:p>
    <w:p w:rsidR="003F3018" w:rsidRPr="00B534E1" w:rsidRDefault="003F3018" w:rsidP="003F3018">
      <w:pPr>
        <w:pStyle w:val="Prrafodelista"/>
        <w:rPr>
          <w:rFonts w:asciiTheme="majorHAnsi" w:hAnsiTheme="majorHAnsi"/>
          <w:sz w:val="24"/>
          <w:szCs w:val="24"/>
          <w:lang w:val="es-MX"/>
        </w:rPr>
      </w:pPr>
    </w:p>
    <w:p w:rsidR="004E5F19" w:rsidRPr="00B534E1" w:rsidRDefault="00A80A7B" w:rsidP="00A80A7B">
      <w:pPr>
        <w:pStyle w:val="Prrafodelista"/>
        <w:numPr>
          <w:ilvl w:val="0"/>
          <w:numId w:val="8"/>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En el artículo 25 letra f) </w:t>
      </w:r>
      <w:r w:rsidR="004E5F19" w:rsidRPr="00B534E1">
        <w:rPr>
          <w:rFonts w:asciiTheme="majorHAnsi" w:hAnsiTheme="majorHAnsi"/>
          <w:sz w:val="24"/>
          <w:szCs w:val="24"/>
          <w:lang w:val="es-MX"/>
        </w:rPr>
        <w:t xml:space="preserve">se señala que una causal de exclusión es haber sido sancionado por tres infracciones graves. Sin embargo, como la sociedad postulante no tiene historia, obviamente esta causal no le es aplicable. Solo si alguno de sus accionistas incurre en dicha situación, es decir, que una sociedad operadora sea accionista de la postulante. Por tanto, no se entiende en qué caso realista podría ser aplicada. </w:t>
      </w:r>
    </w:p>
    <w:p w:rsidR="00702D77" w:rsidRPr="00B534E1" w:rsidRDefault="00702D77" w:rsidP="00702D77">
      <w:pPr>
        <w:pStyle w:val="Prrafodelista"/>
        <w:rPr>
          <w:rFonts w:asciiTheme="majorHAnsi" w:hAnsiTheme="majorHAnsi"/>
          <w:sz w:val="24"/>
          <w:szCs w:val="24"/>
          <w:lang w:val="es-MX"/>
        </w:rPr>
      </w:pPr>
    </w:p>
    <w:p w:rsidR="001904A0" w:rsidRPr="00B534E1" w:rsidRDefault="009C7BDC" w:rsidP="0009059A">
      <w:pPr>
        <w:pStyle w:val="Prrafodelista"/>
        <w:numPr>
          <w:ilvl w:val="0"/>
          <w:numId w:val="8"/>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En el artículo 30, se hace referencia a solicitar informes a otro órgano de la administración del estado, pero dado que </w:t>
      </w:r>
      <w:r w:rsidR="00E53CF7" w:rsidRPr="00B534E1">
        <w:rPr>
          <w:rFonts w:asciiTheme="majorHAnsi" w:hAnsiTheme="majorHAnsi"/>
          <w:sz w:val="24"/>
          <w:szCs w:val="24"/>
          <w:lang w:val="es-MX"/>
        </w:rPr>
        <w:t xml:space="preserve"> se trata de </w:t>
      </w:r>
      <w:r w:rsidRPr="00B534E1">
        <w:rPr>
          <w:rFonts w:asciiTheme="majorHAnsi" w:hAnsiTheme="majorHAnsi"/>
          <w:sz w:val="24"/>
          <w:szCs w:val="24"/>
          <w:lang w:val="es-MX"/>
        </w:rPr>
        <w:t xml:space="preserve">la fase de evaluación de las ofertas técnicas, </w:t>
      </w:r>
      <w:r w:rsidR="00E53CF7" w:rsidRPr="00B534E1">
        <w:rPr>
          <w:rFonts w:asciiTheme="majorHAnsi" w:hAnsiTheme="majorHAnsi"/>
          <w:sz w:val="24"/>
          <w:szCs w:val="24"/>
          <w:lang w:val="es-MX"/>
        </w:rPr>
        <w:t>¿Q</w:t>
      </w:r>
      <w:r w:rsidRPr="00B534E1">
        <w:rPr>
          <w:rFonts w:asciiTheme="majorHAnsi" w:hAnsiTheme="majorHAnsi"/>
          <w:sz w:val="24"/>
          <w:szCs w:val="24"/>
          <w:lang w:val="es-MX"/>
        </w:rPr>
        <w:t>ué sentido tiene requerir información sobre los accionistas, ya que éstos no forman parte de dicha evaluación</w:t>
      </w:r>
      <w:proofErr w:type="gramStart"/>
      <w:r w:rsidR="00E53CF7" w:rsidRPr="00B534E1">
        <w:rPr>
          <w:rFonts w:asciiTheme="majorHAnsi" w:hAnsiTheme="majorHAnsi"/>
          <w:sz w:val="24"/>
          <w:szCs w:val="24"/>
          <w:lang w:val="es-MX"/>
        </w:rPr>
        <w:t>?</w:t>
      </w:r>
      <w:r w:rsidRPr="00B534E1">
        <w:rPr>
          <w:rFonts w:asciiTheme="majorHAnsi" w:hAnsiTheme="majorHAnsi"/>
          <w:sz w:val="24"/>
          <w:szCs w:val="24"/>
          <w:lang w:val="es-MX"/>
        </w:rPr>
        <w:t>.</w:t>
      </w:r>
      <w:proofErr w:type="gramEnd"/>
    </w:p>
    <w:p w:rsidR="00CD2A9B" w:rsidRPr="00B534E1" w:rsidRDefault="00CD2A9B" w:rsidP="00CD2A9B">
      <w:pPr>
        <w:spacing w:after="0" w:line="240" w:lineRule="auto"/>
        <w:jc w:val="both"/>
        <w:rPr>
          <w:rFonts w:asciiTheme="majorHAnsi" w:hAnsiTheme="majorHAnsi"/>
          <w:sz w:val="24"/>
          <w:szCs w:val="24"/>
          <w:lang w:val="es-MX"/>
        </w:rPr>
      </w:pPr>
    </w:p>
    <w:p w:rsidR="001904A0" w:rsidRPr="00B534E1" w:rsidRDefault="001904A0" w:rsidP="0009059A">
      <w:pPr>
        <w:pStyle w:val="Prrafodelista"/>
        <w:numPr>
          <w:ilvl w:val="0"/>
          <w:numId w:val="8"/>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En el artículo 36, el </w:t>
      </w:r>
      <w:r w:rsidR="00E53CF7" w:rsidRPr="00B534E1">
        <w:rPr>
          <w:rFonts w:asciiTheme="majorHAnsi" w:hAnsiTheme="majorHAnsi"/>
          <w:sz w:val="24"/>
          <w:szCs w:val="24"/>
          <w:lang w:val="es-MX"/>
        </w:rPr>
        <w:t>C</w:t>
      </w:r>
      <w:r w:rsidRPr="00B534E1">
        <w:rPr>
          <w:rFonts w:asciiTheme="majorHAnsi" w:hAnsiTheme="majorHAnsi"/>
          <w:sz w:val="24"/>
          <w:szCs w:val="24"/>
          <w:lang w:val="es-MX"/>
        </w:rPr>
        <w:t xml:space="preserve">omité </w:t>
      </w:r>
      <w:r w:rsidR="00E53CF7" w:rsidRPr="00B534E1">
        <w:rPr>
          <w:rFonts w:asciiTheme="majorHAnsi" w:hAnsiTheme="majorHAnsi"/>
          <w:sz w:val="24"/>
          <w:szCs w:val="24"/>
          <w:lang w:val="es-MX"/>
        </w:rPr>
        <w:t>T</w:t>
      </w:r>
      <w:r w:rsidRPr="00B534E1">
        <w:rPr>
          <w:rFonts w:asciiTheme="majorHAnsi" w:hAnsiTheme="majorHAnsi"/>
          <w:sz w:val="24"/>
          <w:szCs w:val="24"/>
          <w:lang w:val="es-MX"/>
        </w:rPr>
        <w:t xml:space="preserve">écnico de </w:t>
      </w:r>
      <w:r w:rsidR="00E53CF7" w:rsidRPr="00B534E1">
        <w:rPr>
          <w:rFonts w:asciiTheme="majorHAnsi" w:hAnsiTheme="majorHAnsi"/>
          <w:sz w:val="24"/>
          <w:szCs w:val="24"/>
          <w:lang w:val="es-MX"/>
        </w:rPr>
        <w:t>E</w:t>
      </w:r>
      <w:r w:rsidRPr="00B534E1">
        <w:rPr>
          <w:rFonts w:asciiTheme="majorHAnsi" w:hAnsiTheme="majorHAnsi"/>
          <w:sz w:val="24"/>
          <w:szCs w:val="24"/>
          <w:lang w:val="es-MX"/>
        </w:rPr>
        <w:t>valuación, dado su nombre</w:t>
      </w:r>
      <w:r w:rsidR="00E53CF7" w:rsidRPr="00B534E1">
        <w:rPr>
          <w:rFonts w:asciiTheme="majorHAnsi" w:hAnsiTheme="majorHAnsi"/>
          <w:sz w:val="24"/>
          <w:szCs w:val="24"/>
          <w:lang w:val="es-MX"/>
        </w:rPr>
        <w:t xml:space="preserve">, </w:t>
      </w:r>
      <w:r w:rsidRPr="00B534E1">
        <w:rPr>
          <w:rFonts w:asciiTheme="majorHAnsi" w:hAnsiTheme="majorHAnsi"/>
          <w:sz w:val="24"/>
          <w:szCs w:val="24"/>
          <w:lang w:val="es-MX"/>
        </w:rPr>
        <w:t xml:space="preserve">¿Sólo será responsable de la evaluación </w:t>
      </w:r>
      <w:r w:rsidR="004522AA" w:rsidRPr="00B534E1">
        <w:rPr>
          <w:rFonts w:asciiTheme="majorHAnsi" w:hAnsiTheme="majorHAnsi"/>
          <w:sz w:val="24"/>
          <w:szCs w:val="24"/>
          <w:lang w:val="es-MX"/>
        </w:rPr>
        <w:t>técnica de las ofertas? ¿Qué pas</w:t>
      </w:r>
      <w:r w:rsidRPr="00B534E1">
        <w:rPr>
          <w:rFonts w:asciiTheme="majorHAnsi" w:hAnsiTheme="majorHAnsi"/>
          <w:sz w:val="24"/>
          <w:szCs w:val="24"/>
          <w:lang w:val="es-MX"/>
        </w:rPr>
        <w:t>a con la verificación del cumplimiento de los requisitos legales y reglamentarios</w:t>
      </w:r>
      <w:r w:rsidR="00E53CF7" w:rsidRPr="00B534E1">
        <w:rPr>
          <w:rFonts w:asciiTheme="majorHAnsi" w:hAnsiTheme="majorHAnsi"/>
          <w:sz w:val="24"/>
          <w:szCs w:val="24"/>
          <w:lang w:val="es-MX"/>
        </w:rPr>
        <w:t xml:space="preserve"> y</w:t>
      </w:r>
      <w:r w:rsidRPr="00B534E1">
        <w:rPr>
          <w:rFonts w:asciiTheme="majorHAnsi" w:hAnsiTheme="majorHAnsi"/>
          <w:sz w:val="24"/>
          <w:szCs w:val="24"/>
          <w:lang w:val="es-MX"/>
        </w:rPr>
        <w:t xml:space="preserve"> con la precalificación de las sociedades? ¿</w:t>
      </w:r>
      <w:r w:rsidR="00E53CF7" w:rsidRPr="00B534E1">
        <w:rPr>
          <w:rFonts w:asciiTheme="majorHAnsi" w:hAnsiTheme="majorHAnsi"/>
          <w:sz w:val="24"/>
          <w:szCs w:val="24"/>
          <w:lang w:val="es-MX"/>
        </w:rPr>
        <w:t xml:space="preserve">Estarán a </w:t>
      </w:r>
      <w:r w:rsidRPr="00B534E1">
        <w:rPr>
          <w:rFonts w:asciiTheme="majorHAnsi" w:hAnsiTheme="majorHAnsi"/>
          <w:sz w:val="24"/>
          <w:szCs w:val="24"/>
          <w:lang w:val="es-MX"/>
        </w:rPr>
        <w:t>cargo de otro comité o directamente de las divisiones de la Superintendencia?</w:t>
      </w:r>
      <w:r w:rsidR="005C0810" w:rsidRPr="00B534E1">
        <w:rPr>
          <w:rFonts w:asciiTheme="majorHAnsi" w:hAnsiTheme="majorHAnsi"/>
          <w:sz w:val="24"/>
          <w:szCs w:val="24"/>
          <w:lang w:val="es-MX"/>
        </w:rPr>
        <w:t xml:space="preserve"> ¿Si dichas actividades forman parte del trabajo que realiza el comité técnico de evaluación, se entiende qué estarán sometidas a la revisión del Consejo Resolutivo, de acuerdo a lo que establece el artículo 38?</w:t>
      </w:r>
    </w:p>
    <w:p w:rsidR="00CD2A9B" w:rsidRPr="00B534E1" w:rsidRDefault="00CD2A9B" w:rsidP="00CD2A9B">
      <w:pPr>
        <w:spacing w:after="0" w:line="240" w:lineRule="auto"/>
        <w:jc w:val="both"/>
        <w:rPr>
          <w:rFonts w:asciiTheme="majorHAnsi" w:hAnsiTheme="majorHAnsi"/>
          <w:sz w:val="24"/>
          <w:szCs w:val="24"/>
          <w:lang w:val="es-MX"/>
        </w:rPr>
      </w:pPr>
    </w:p>
    <w:p w:rsidR="00B21F37" w:rsidRPr="00B534E1" w:rsidRDefault="00CD2A9B" w:rsidP="0009059A">
      <w:pPr>
        <w:pStyle w:val="Prrafodelista"/>
        <w:numPr>
          <w:ilvl w:val="0"/>
          <w:numId w:val="8"/>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En el artículo 38 se señala que el Consejo Resolutivo </w:t>
      </w:r>
      <w:r w:rsidRPr="00B87645">
        <w:rPr>
          <w:rFonts w:asciiTheme="majorHAnsi" w:hAnsiTheme="majorHAnsi"/>
          <w:i/>
          <w:sz w:val="24"/>
          <w:szCs w:val="24"/>
          <w:lang w:val="es-MX"/>
        </w:rPr>
        <w:t>“</w:t>
      </w:r>
      <w:r w:rsidR="00372FDB" w:rsidRPr="00B87645">
        <w:rPr>
          <w:rFonts w:asciiTheme="majorHAnsi" w:hAnsiTheme="majorHAnsi"/>
          <w:i/>
          <w:sz w:val="24"/>
          <w:szCs w:val="24"/>
          <w:lang w:val="es-MX"/>
        </w:rPr>
        <w:t>…</w:t>
      </w:r>
      <w:r w:rsidRPr="00B87645">
        <w:rPr>
          <w:rFonts w:asciiTheme="majorHAnsi" w:hAnsiTheme="majorHAnsi"/>
          <w:i/>
          <w:sz w:val="24"/>
          <w:szCs w:val="24"/>
          <w:lang w:val="es-MX"/>
        </w:rPr>
        <w:t>ratificará el puntaje, solicitará la revisión del mismo o podrá poner término a la evaluación en su caso”</w:t>
      </w:r>
      <w:r w:rsidRPr="00B534E1">
        <w:rPr>
          <w:rFonts w:asciiTheme="majorHAnsi" w:hAnsiTheme="majorHAnsi"/>
          <w:sz w:val="24"/>
          <w:szCs w:val="24"/>
          <w:lang w:val="es-MX"/>
        </w:rPr>
        <w:t>. ¿Qué significa</w:t>
      </w:r>
      <w:r w:rsidR="00372FDB">
        <w:rPr>
          <w:rFonts w:asciiTheme="majorHAnsi" w:hAnsiTheme="majorHAnsi"/>
          <w:sz w:val="24"/>
          <w:szCs w:val="24"/>
          <w:lang w:val="es-MX"/>
        </w:rPr>
        <w:t xml:space="preserve">do se le debe atribuir a la expresión </w:t>
      </w:r>
      <w:r w:rsidR="00372FDB" w:rsidRPr="00B87645">
        <w:rPr>
          <w:rFonts w:asciiTheme="majorHAnsi" w:hAnsiTheme="majorHAnsi"/>
          <w:i/>
          <w:sz w:val="24"/>
          <w:szCs w:val="24"/>
          <w:lang w:val="es-MX"/>
        </w:rPr>
        <w:t>“…</w:t>
      </w:r>
      <w:r w:rsidRPr="00B87645">
        <w:rPr>
          <w:rFonts w:asciiTheme="majorHAnsi" w:hAnsiTheme="majorHAnsi"/>
          <w:i/>
          <w:sz w:val="24"/>
          <w:szCs w:val="24"/>
          <w:lang w:val="es-MX"/>
        </w:rPr>
        <w:t>podrá poner término a la evaluación</w:t>
      </w:r>
      <w:r w:rsidR="00372FDB" w:rsidRPr="00B87645">
        <w:rPr>
          <w:rFonts w:asciiTheme="majorHAnsi" w:hAnsiTheme="majorHAnsi"/>
          <w:i/>
          <w:sz w:val="24"/>
          <w:szCs w:val="24"/>
          <w:lang w:val="es-MX"/>
        </w:rPr>
        <w:t>”</w:t>
      </w:r>
      <w:r w:rsidRPr="00B534E1">
        <w:rPr>
          <w:rFonts w:asciiTheme="majorHAnsi" w:hAnsiTheme="majorHAnsi"/>
          <w:sz w:val="24"/>
          <w:szCs w:val="24"/>
          <w:lang w:val="es-MX"/>
        </w:rPr>
        <w:t>?</w:t>
      </w:r>
      <w:r w:rsidR="00B21F37" w:rsidRPr="00B534E1">
        <w:rPr>
          <w:rFonts w:asciiTheme="majorHAnsi" w:hAnsiTheme="majorHAnsi"/>
          <w:sz w:val="24"/>
          <w:szCs w:val="24"/>
          <w:lang w:val="es-MX"/>
        </w:rPr>
        <w:t>.</w:t>
      </w:r>
    </w:p>
    <w:p w:rsidR="00B21F37" w:rsidRPr="00B534E1" w:rsidRDefault="00B21F37" w:rsidP="00B21F37">
      <w:pPr>
        <w:pStyle w:val="Prrafodelista"/>
        <w:rPr>
          <w:rFonts w:asciiTheme="majorHAnsi" w:hAnsiTheme="majorHAnsi"/>
          <w:sz w:val="24"/>
          <w:szCs w:val="24"/>
          <w:lang w:val="es-MX"/>
        </w:rPr>
      </w:pPr>
    </w:p>
    <w:p w:rsidR="00B21F37" w:rsidRPr="00B534E1" w:rsidRDefault="00B21F37" w:rsidP="00B21F37">
      <w:pPr>
        <w:pStyle w:val="Prrafodelista"/>
        <w:numPr>
          <w:ilvl w:val="0"/>
          <w:numId w:val="8"/>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El artículo 44 del Reglamento señala que </w:t>
      </w:r>
      <w:r w:rsidRPr="00E01EC4">
        <w:rPr>
          <w:rFonts w:asciiTheme="majorHAnsi" w:hAnsiTheme="majorHAnsi"/>
          <w:i/>
          <w:sz w:val="24"/>
          <w:szCs w:val="24"/>
          <w:lang w:val="es-MX"/>
        </w:rPr>
        <w:t>“dentro del plazo de 5 días siguientes a la fecha de la audiencia de apertura de la oferta económica, el Superintendente deberá dictar la resolución que otorgue, deniegue o renueve un permiso de operación de casino de juego, la que deberá ser fundada</w:t>
      </w:r>
      <w:r w:rsidR="00E01EC4">
        <w:rPr>
          <w:rFonts w:asciiTheme="majorHAnsi" w:hAnsiTheme="majorHAnsi"/>
          <w:i/>
          <w:sz w:val="24"/>
          <w:szCs w:val="24"/>
          <w:lang w:val="es-MX"/>
        </w:rPr>
        <w:t>…”</w:t>
      </w:r>
      <w:r w:rsidRPr="00B534E1">
        <w:rPr>
          <w:rFonts w:asciiTheme="majorHAnsi" w:hAnsiTheme="majorHAnsi"/>
          <w:sz w:val="24"/>
          <w:szCs w:val="24"/>
          <w:lang w:val="es-MX"/>
        </w:rPr>
        <w:t>, sin embargo parece lógico que esta regla se aplique sólo respecto de los que obtuvieron al menos el 60% del puntaje. La resolución respecto de las sociedades operadoras que no pasaron dicho filtro debería ser dictada antes</w:t>
      </w:r>
      <w:r w:rsidR="00E01EC4">
        <w:rPr>
          <w:rFonts w:asciiTheme="majorHAnsi" w:hAnsiTheme="majorHAnsi"/>
          <w:sz w:val="24"/>
          <w:szCs w:val="24"/>
          <w:lang w:val="es-MX"/>
        </w:rPr>
        <w:t xml:space="preserve"> pues no hay razón para aplazar la dictación de dicho acto administrativo</w:t>
      </w:r>
      <w:r w:rsidRPr="00B534E1">
        <w:rPr>
          <w:rFonts w:asciiTheme="majorHAnsi" w:hAnsiTheme="majorHAnsi"/>
          <w:sz w:val="24"/>
          <w:szCs w:val="24"/>
          <w:lang w:val="es-MX"/>
        </w:rPr>
        <w:t>.</w:t>
      </w:r>
    </w:p>
    <w:p w:rsidR="00B21F37" w:rsidRPr="00B534E1" w:rsidRDefault="00B21F37" w:rsidP="00B21F37">
      <w:pPr>
        <w:pStyle w:val="Prrafodelista"/>
        <w:spacing w:after="0" w:line="240" w:lineRule="auto"/>
        <w:ind w:left="1080"/>
        <w:jc w:val="both"/>
        <w:rPr>
          <w:rFonts w:asciiTheme="majorHAnsi" w:hAnsiTheme="majorHAnsi"/>
          <w:sz w:val="24"/>
          <w:szCs w:val="24"/>
          <w:lang w:val="es-MX"/>
        </w:rPr>
      </w:pPr>
    </w:p>
    <w:p w:rsidR="004E12AA" w:rsidRPr="00B534E1" w:rsidRDefault="006A0D4F" w:rsidP="00E53CF7">
      <w:pPr>
        <w:pStyle w:val="Prrafodelista"/>
        <w:numPr>
          <w:ilvl w:val="0"/>
          <w:numId w:val="10"/>
        </w:numPr>
        <w:spacing w:after="0" w:line="240" w:lineRule="auto"/>
        <w:jc w:val="both"/>
        <w:rPr>
          <w:rFonts w:asciiTheme="majorHAnsi" w:hAnsiTheme="majorHAnsi"/>
          <w:b/>
          <w:sz w:val="24"/>
          <w:szCs w:val="24"/>
          <w:lang w:val="es-MX"/>
        </w:rPr>
      </w:pPr>
      <w:r w:rsidRPr="00B534E1">
        <w:rPr>
          <w:rFonts w:asciiTheme="majorHAnsi" w:hAnsiTheme="majorHAnsi"/>
          <w:b/>
          <w:sz w:val="24"/>
          <w:szCs w:val="24"/>
          <w:lang w:val="es-MX"/>
        </w:rPr>
        <w:t>Mecanismo de evaluación de las ofertas técnicas</w:t>
      </w:r>
      <w:r w:rsidR="002D1A05">
        <w:rPr>
          <w:rFonts w:asciiTheme="majorHAnsi" w:hAnsiTheme="majorHAnsi"/>
          <w:b/>
          <w:sz w:val="24"/>
          <w:szCs w:val="24"/>
          <w:lang w:val="es-MX"/>
        </w:rPr>
        <w:t>.</w:t>
      </w:r>
    </w:p>
    <w:p w:rsidR="004E12AA" w:rsidRPr="00B534E1" w:rsidRDefault="004E12AA" w:rsidP="004E12AA">
      <w:pPr>
        <w:pStyle w:val="Prrafodelista"/>
        <w:spacing w:after="0" w:line="240" w:lineRule="auto"/>
        <w:ind w:left="360"/>
        <w:jc w:val="both"/>
        <w:rPr>
          <w:rFonts w:asciiTheme="majorHAnsi" w:hAnsiTheme="majorHAnsi"/>
          <w:sz w:val="24"/>
          <w:szCs w:val="24"/>
          <w:lang w:val="es-MX"/>
        </w:rPr>
      </w:pPr>
    </w:p>
    <w:p w:rsidR="00265F0D" w:rsidRPr="00B534E1" w:rsidRDefault="00265F0D" w:rsidP="00E53CF7">
      <w:pPr>
        <w:pStyle w:val="Prrafodelista"/>
        <w:numPr>
          <w:ilvl w:val="0"/>
          <w:numId w:val="11"/>
        </w:numPr>
        <w:spacing w:after="0" w:line="240" w:lineRule="auto"/>
        <w:ind w:left="1134"/>
        <w:jc w:val="both"/>
        <w:rPr>
          <w:rFonts w:asciiTheme="majorHAnsi" w:hAnsiTheme="majorHAnsi"/>
          <w:sz w:val="24"/>
          <w:szCs w:val="24"/>
          <w:lang w:val="es-MX"/>
        </w:rPr>
      </w:pPr>
      <w:r w:rsidRPr="00B534E1">
        <w:rPr>
          <w:rFonts w:asciiTheme="majorHAnsi" w:hAnsiTheme="majorHAnsi"/>
          <w:sz w:val="24"/>
          <w:szCs w:val="24"/>
          <w:lang w:val="es-MX"/>
        </w:rPr>
        <w:t>En el artículo 32</w:t>
      </w:r>
      <w:r w:rsidR="0012157C" w:rsidRPr="00B534E1">
        <w:rPr>
          <w:rFonts w:asciiTheme="majorHAnsi" w:hAnsiTheme="majorHAnsi"/>
          <w:sz w:val="24"/>
          <w:szCs w:val="24"/>
          <w:lang w:val="es-MX"/>
        </w:rPr>
        <w:t>, a pesar que el reglamento define</w:t>
      </w:r>
      <w:r w:rsidR="004E5F19" w:rsidRPr="00B534E1">
        <w:rPr>
          <w:rFonts w:asciiTheme="majorHAnsi" w:hAnsiTheme="majorHAnsi"/>
          <w:sz w:val="24"/>
          <w:szCs w:val="24"/>
          <w:lang w:val="es-MX"/>
        </w:rPr>
        <w:t xml:space="preserve"> en su artículo 33</w:t>
      </w:r>
      <w:r w:rsidR="0012157C" w:rsidRPr="00B534E1">
        <w:rPr>
          <w:rFonts w:asciiTheme="majorHAnsi" w:hAnsiTheme="majorHAnsi"/>
          <w:sz w:val="24"/>
          <w:szCs w:val="24"/>
          <w:lang w:val="es-MX"/>
        </w:rPr>
        <w:t xml:space="preserve"> las ponderaciones de los criterios, factores y</w:t>
      </w:r>
      <w:r w:rsidR="00A30FCA" w:rsidRPr="00B534E1">
        <w:rPr>
          <w:rFonts w:asciiTheme="majorHAnsi" w:hAnsiTheme="majorHAnsi"/>
          <w:sz w:val="24"/>
          <w:szCs w:val="24"/>
          <w:lang w:val="es-MX"/>
        </w:rPr>
        <w:t xml:space="preserve"> </w:t>
      </w:r>
      <w:proofErr w:type="spellStart"/>
      <w:r w:rsidR="00A30FCA" w:rsidRPr="00B534E1">
        <w:rPr>
          <w:rFonts w:asciiTheme="majorHAnsi" w:hAnsiTheme="majorHAnsi"/>
          <w:sz w:val="24"/>
          <w:szCs w:val="24"/>
          <w:lang w:val="es-MX"/>
        </w:rPr>
        <w:t>subfactores</w:t>
      </w:r>
      <w:proofErr w:type="spellEnd"/>
      <w:r w:rsidR="00A30FCA" w:rsidRPr="00B534E1">
        <w:rPr>
          <w:rFonts w:asciiTheme="majorHAnsi" w:hAnsiTheme="majorHAnsi"/>
          <w:sz w:val="24"/>
          <w:szCs w:val="24"/>
          <w:lang w:val="es-MX"/>
        </w:rPr>
        <w:t xml:space="preserve"> de evaluación de la</w:t>
      </w:r>
      <w:r w:rsidR="0012157C" w:rsidRPr="00B534E1">
        <w:rPr>
          <w:rFonts w:asciiTheme="majorHAnsi" w:hAnsiTheme="majorHAnsi"/>
          <w:sz w:val="24"/>
          <w:szCs w:val="24"/>
          <w:lang w:val="es-MX"/>
        </w:rPr>
        <w:t xml:space="preserve">s ofertas técnicas, señala que la escala de evaluación para dichos factores y </w:t>
      </w:r>
      <w:proofErr w:type="spellStart"/>
      <w:r w:rsidR="0012157C" w:rsidRPr="00B534E1">
        <w:rPr>
          <w:rFonts w:asciiTheme="majorHAnsi" w:hAnsiTheme="majorHAnsi"/>
          <w:sz w:val="24"/>
          <w:szCs w:val="24"/>
          <w:lang w:val="es-MX"/>
        </w:rPr>
        <w:t>subfactores</w:t>
      </w:r>
      <w:proofErr w:type="spellEnd"/>
      <w:r w:rsidR="0012157C" w:rsidRPr="00B534E1">
        <w:rPr>
          <w:rFonts w:asciiTheme="majorHAnsi" w:hAnsiTheme="majorHAnsi"/>
          <w:sz w:val="24"/>
          <w:szCs w:val="24"/>
          <w:lang w:val="es-MX"/>
        </w:rPr>
        <w:t xml:space="preserve"> se esta</w:t>
      </w:r>
      <w:r w:rsidR="0028169C" w:rsidRPr="00B534E1">
        <w:rPr>
          <w:rFonts w:asciiTheme="majorHAnsi" w:hAnsiTheme="majorHAnsi"/>
          <w:sz w:val="24"/>
          <w:szCs w:val="24"/>
          <w:lang w:val="es-MX"/>
        </w:rPr>
        <w:t>blece</w:t>
      </w:r>
      <w:r w:rsidR="00E53CF7" w:rsidRPr="00B534E1">
        <w:rPr>
          <w:rFonts w:asciiTheme="majorHAnsi" w:hAnsiTheme="majorHAnsi"/>
          <w:sz w:val="24"/>
          <w:szCs w:val="24"/>
          <w:lang w:val="es-MX"/>
        </w:rPr>
        <w:t>rá</w:t>
      </w:r>
      <w:r w:rsidR="0028169C" w:rsidRPr="00B534E1">
        <w:rPr>
          <w:rFonts w:asciiTheme="majorHAnsi" w:hAnsiTheme="majorHAnsi"/>
          <w:sz w:val="24"/>
          <w:szCs w:val="24"/>
          <w:lang w:val="es-MX"/>
        </w:rPr>
        <w:t xml:space="preserve"> en las bases técnicas. </w:t>
      </w:r>
      <w:r w:rsidR="00A30FCA" w:rsidRPr="00B534E1">
        <w:rPr>
          <w:rFonts w:asciiTheme="majorHAnsi" w:hAnsiTheme="majorHAnsi"/>
          <w:sz w:val="24"/>
          <w:szCs w:val="24"/>
          <w:lang w:val="es-MX"/>
        </w:rPr>
        <w:t>Con esta redacción sería posible modificar las pon</w:t>
      </w:r>
      <w:r w:rsidR="0028169C" w:rsidRPr="00B534E1">
        <w:rPr>
          <w:rFonts w:asciiTheme="majorHAnsi" w:hAnsiTheme="majorHAnsi"/>
          <w:sz w:val="24"/>
          <w:szCs w:val="24"/>
          <w:lang w:val="es-MX"/>
        </w:rPr>
        <w:t>deraciones establecidas e</w:t>
      </w:r>
      <w:r w:rsidR="00A30FCA" w:rsidRPr="00B534E1">
        <w:rPr>
          <w:rFonts w:asciiTheme="majorHAnsi" w:hAnsiTheme="majorHAnsi"/>
          <w:sz w:val="24"/>
          <w:szCs w:val="24"/>
          <w:lang w:val="es-MX"/>
        </w:rPr>
        <w:t>n el artículo 33 del reglamento.</w:t>
      </w:r>
    </w:p>
    <w:p w:rsidR="00265F0D" w:rsidRPr="00B534E1" w:rsidRDefault="00265F0D" w:rsidP="00E53CF7">
      <w:pPr>
        <w:pStyle w:val="Prrafodelista"/>
        <w:ind w:left="1134"/>
        <w:rPr>
          <w:rFonts w:asciiTheme="majorHAnsi" w:hAnsiTheme="majorHAnsi"/>
          <w:sz w:val="24"/>
          <w:szCs w:val="24"/>
          <w:lang w:val="es-MX"/>
        </w:rPr>
      </w:pPr>
    </w:p>
    <w:p w:rsidR="00E91D37" w:rsidRPr="00B534E1" w:rsidRDefault="00265F0D" w:rsidP="00E53CF7">
      <w:pPr>
        <w:pStyle w:val="Prrafodelista"/>
        <w:numPr>
          <w:ilvl w:val="0"/>
          <w:numId w:val="11"/>
        </w:numPr>
        <w:spacing w:after="0" w:line="240" w:lineRule="auto"/>
        <w:ind w:left="1134"/>
        <w:jc w:val="both"/>
        <w:rPr>
          <w:rFonts w:asciiTheme="majorHAnsi" w:hAnsiTheme="majorHAnsi"/>
          <w:sz w:val="24"/>
          <w:szCs w:val="24"/>
          <w:lang w:val="es-MX"/>
        </w:rPr>
      </w:pPr>
      <w:r w:rsidRPr="00B534E1">
        <w:rPr>
          <w:rFonts w:asciiTheme="majorHAnsi" w:hAnsiTheme="majorHAnsi"/>
          <w:sz w:val="24"/>
          <w:szCs w:val="24"/>
          <w:lang w:val="es-MX"/>
        </w:rPr>
        <w:t>En el artículo 33 se presentan las ponderaciones de cada uno de los criterios y factores de la evaluación técnica.</w:t>
      </w:r>
      <w:r w:rsidR="003C533E" w:rsidRPr="00B534E1">
        <w:rPr>
          <w:rFonts w:asciiTheme="majorHAnsi" w:hAnsiTheme="majorHAnsi"/>
          <w:sz w:val="24"/>
          <w:szCs w:val="24"/>
          <w:lang w:val="es-MX"/>
        </w:rPr>
        <w:t xml:space="preserve"> Al respecto, las observaciones son las siguientes:</w:t>
      </w:r>
    </w:p>
    <w:p w:rsidR="005007B8" w:rsidRPr="00B534E1" w:rsidRDefault="005007B8" w:rsidP="00E53CF7">
      <w:pPr>
        <w:spacing w:after="0" w:line="240" w:lineRule="auto"/>
        <w:ind w:left="1134"/>
        <w:jc w:val="both"/>
        <w:rPr>
          <w:rFonts w:asciiTheme="majorHAnsi" w:hAnsiTheme="majorHAnsi"/>
          <w:sz w:val="24"/>
          <w:szCs w:val="24"/>
          <w:lang w:val="es-MX"/>
        </w:rPr>
      </w:pPr>
    </w:p>
    <w:p w:rsidR="003C533E" w:rsidRPr="00B534E1" w:rsidRDefault="003C533E" w:rsidP="004E12AA">
      <w:pPr>
        <w:pStyle w:val="Prrafodelista"/>
        <w:numPr>
          <w:ilvl w:val="2"/>
          <w:numId w:val="1"/>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 xml:space="preserve">¿Por qué el informe de la </w:t>
      </w:r>
      <w:r w:rsidR="00F42CE7" w:rsidRPr="00B534E1">
        <w:rPr>
          <w:rFonts w:asciiTheme="majorHAnsi" w:hAnsiTheme="majorHAnsi"/>
          <w:sz w:val="24"/>
          <w:szCs w:val="24"/>
          <w:lang w:val="es-MX"/>
        </w:rPr>
        <w:t>intendencia</w:t>
      </w:r>
      <w:r w:rsidRPr="00B534E1">
        <w:rPr>
          <w:rFonts w:asciiTheme="majorHAnsi" w:hAnsiTheme="majorHAnsi"/>
          <w:sz w:val="24"/>
          <w:szCs w:val="24"/>
          <w:lang w:val="es-MX"/>
        </w:rPr>
        <w:t xml:space="preserve"> tiene un puntaje continuo, </w:t>
      </w:r>
      <w:r w:rsidR="00372FDB">
        <w:rPr>
          <w:rFonts w:asciiTheme="majorHAnsi" w:hAnsiTheme="majorHAnsi"/>
          <w:sz w:val="24"/>
          <w:szCs w:val="24"/>
          <w:lang w:val="es-MX"/>
        </w:rPr>
        <w:t xml:space="preserve">de </w:t>
      </w:r>
      <w:r w:rsidRPr="00B534E1">
        <w:rPr>
          <w:rFonts w:asciiTheme="majorHAnsi" w:hAnsiTheme="majorHAnsi"/>
          <w:sz w:val="24"/>
          <w:szCs w:val="24"/>
          <w:lang w:val="es-MX"/>
        </w:rPr>
        <w:t xml:space="preserve">hasta 100 puntos; en cambio el informe de la </w:t>
      </w:r>
      <w:r w:rsidRPr="00B534E1">
        <w:rPr>
          <w:rFonts w:asciiTheme="majorHAnsi" w:hAnsiTheme="majorHAnsi"/>
          <w:sz w:val="24"/>
          <w:szCs w:val="24"/>
          <w:lang w:val="es-MX"/>
        </w:rPr>
        <w:lastRenderedPageBreak/>
        <w:t>municipalidad tiene puntajes discretos: 0 o 50 o 100?</w:t>
      </w:r>
      <w:r w:rsidR="00A30FCA" w:rsidRPr="00B534E1">
        <w:rPr>
          <w:rFonts w:asciiTheme="majorHAnsi" w:hAnsiTheme="majorHAnsi"/>
          <w:sz w:val="24"/>
          <w:szCs w:val="24"/>
          <w:lang w:val="es-MX"/>
        </w:rPr>
        <w:t xml:space="preserve"> No se entiende que fundamento puede tener esta diferenciación  en la forma de calificar.</w:t>
      </w:r>
      <w:r w:rsidR="00372FDB">
        <w:rPr>
          <w:rFonts w:asciiTheme="majorHAnsi" w:hAnsiTheme="majorHAnsi"/>
          <w:sz w:val="24"/>
          <w:szCs w:val="24"/>
          <w:lang w:val="es-MX"/>
        </w:rPr>
        <w:t xml:space="preserve"> Se propone que la forma de asignar el puntaje en ambos casos se binario, es decir o cero o el máximo puntaje, en la lógica del “Cumple” o “No cumple”. </w:t>
      </w:r>
    </w:p>
    <w:p w:rsidR="003C533E" w:rsidRPr="00B534E1" w:rsidRDefault="00F42CE7" w:rsidP="004E12AA">
      <w:pPr>
        <w:pStyle w:val="Prrafodelista"/>
        <w:numPr>
          <w:ilvl w:val="2"/>
          <w:numId w:val="1"/>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Como la calificación de la Intendencia es continua, habrá un incentivo en analizar el contenido del proyecto, para poder evaluar el impacto del proyecto en la estrategia de desarrollo regional</w:t>
      </w:r>
      <w:r w:rsidR="00A30FCA" w:rsidRPr="00B534E1">
        <w:rPr>
          <w:rFonts w:asciiTheme="majorHAnsi" w:hAnsiTheme="majorHAnsi"/>
          <w:sz w:val="24"/>
          <w:szCs w:val="24"/>
          <w:lang w:val="es-MX"/>
        </w:rPr>
        <w:t>. Esto excede lo que establece la ley. Además, será una fuente de conflictos como sucede actualmente con el caso del casino de Chillán.</w:t>
      </w:r>
    </w:p>
    <w:p w:rsidR="00E53CF7" w:rsidRPr="00B534E1" w:rsidRDefault="00726821" w:rsidP="00E53CF7">
      <w:pPr>
        <w:pStyle w:val="Prrafodelista"/>
        <w:numPr>
          <w:ilvl w:val="2"/>
          <w:numId w:val="1"/>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De manera análoga también sucede respecto de la evaluación del impacto que debe realizar la municipalidad.</w:t>
      </w:r>
      <w:r w:rsidR="00F42CE7" w:rsidRPr="00B534E1">
        <w:rPr>
          <w:rFonts w:asciiTheme="majorHAnsi" w:hAnsiTheme="majorHAnsi"/>
          <w:sz w:val="24"/>
          <w:szCs w:val="24"/>
          <w:lang w:val="es-MX"/>
        </w:rPr>
        <w:t xml:space="preserve"> Además, </w:t>
      </w:r>
      <w:r w:rsidRPr="00B534E1">
        <w:rPr>
          <w:rFonts w:asciiTheme="majorHAnsi" w:hAnsiTheme="majorHAnsi"/>
          <w:sz w:val="24"/>
          <w:szCs w:val="24"/>
          <w:lang w:val="es-MX"/>
        </w:rPr>
        <w:t>¿q</w:t>
      </w:r>
      <w:r w:rsidR="00317AD3" w:rsidRPr="00B534E1">
        <w:rPr>
          <w:rFonts w:asciiTheme="majorHAnsi" w:hAnsiTheme="majorHAnsi"/>
          <w:sz w:val="24"/>
          <w:szCs w:val="24"/>
          <w:lang w:val="es-MX"/>
        </w:rPr>
        <w:t>ué se entiende por factibilidad logística del proyecto</w:t>
      </w:r>
      <w:proofErr w:type="gramStart"/>
      <w:r w:rsidR="00317AD3" w:rsidRPr="00B534E1">
        <w:rPr>
          <w:rFonts w:asciiTheme="majorHAnsi" w:hAnsiTheme="majorHAnsi"/>
          <w:sz w:val="24"/>
          <w:szCs w:val="24"/>
          <w:lang w:val="es-MX"/>
        </w:rPr>
        <w:t>?</w:t>
      </w:r>
      <w:r w:rsidR="00E53CF7" w:rsidRPr="00B534E1">
        <w:rPr>
          <w:rFonts w:asciiTheme="majorHAnsi" w:hAnsiTheme="majorHAnsi"/>
          <w:sz w:val="24"/>
          <w:szCs w:val="24"/>
          <w:lang w:val="es-MX"/>
        </w:rPr>
        <w:t>.</w:t>
      </w:r>
      <w:proofErr w:type="gramEnd"/>
      <w:r w:rsidR="00E53CF7" w:rsidRPr="00B534E1">
        <w:rPr>
          <w:rFonts w:asciiTheme="majorHAnsi" w:hAnsiTheme="majorHAnsi"/>
          <w:sz w:val="24"/>
          <w:szCs w:val="24"/>
          <w:lang w:val="es-MX"/>
        </w:rPr>
        <w:t xml:space="preserve"> </w:t>
      </w:r>
    </w:p>
    <w:p w:rsidR="00317AD3" w:rsidRPr="00B534E1" w:rsidRDefault="00E53CF7" w:rsidP="00E53CF7">
      <w:pPr>
        <w:pStyle w:val="Prrafodelista"/>
        <w:spacing w:after="0" w:line="240" w:lineRule="auto"/>
        <w:ind w:left="1800"/>
        <w:jc w:val="both"/>
        <w:rPr>
          <w:rFonts w:asciiTheme="majorHAnsi" w:hAnsiTheme="majorHAnsi"/>
          <w:sz w:val="24"/>
          <w:szCs w:val="24"/>
          <w:lang w:val="es-MX"/>
        </w:rPr>
      </w:pPr>
      <w:r w:rsidRPr="00B534E1">
        <w:rPr>
          <w:rFonts w:asciiTheme="majorHAnsi" w:hAnsiTheme="majorHAnsi"/>
          <w:sz w:val="24"/>
          <w:szCs w:val="24"/>
          <w:lang w:val="es-MX"/>
        </w:rPr>
        <w:t>Esta consulta se hace pues el término “logística” no se define en el Diccionario de la Real Academia de la Lengua Española pero otros diccionarios se refieren a él como aquella “…parte de la ciencia militar que atiende al movimiento y aprovisionamiento de las tropas” y otra acepción que se le da es: “Conjunto de medios e infraestructura necesarios para llevar a cabo algo</w:t>
      </w:r>
      <w:r w:rsidR="00E01EC4">
        <w:rPr>
          <w:rFonts w:asciiTheme="majorHAnsi" w:hAnsiTheme="majorHAnsi"/>
          <w:sz w:val="24"/>
          <w:szCs w:val="24"/>
          <w:lang w:val="es-MX"/>
        </w:rPr>
        <w:t>”</w:t>
      </w:r>
      <w:r w:rsidRPr="00B534E1">
        <w:rPr>
          <w:rFonts w:asciiTheme="majorHAnsi" w:hAnsiTheme="majorHAnsi"/>
          <w:sz w:val="24"/>
          <w:szCs w:val="24"/>
          <w:lang w:val="es-MX"/>
        </w:rPr>
        <w:t>.</w:t>
      </w:r>
    </w:p>
    <w:p w:rsidR="00F42CE7" w:rsidRPr="00B534E1" w:rsidRDefault="00DB5B59" w:rsidP="004E12AA">
      <w:pPr>
        <w:pStyle w:val="Prrafodelista"/>
        <w:numPr>
          <w:ilvl w:val="2"/>
          <w:numId w:val="1"/>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Respecto de los seis factores que evalúa la Superintendencia</w:t>
      </w:r>
      <w:r w:rsidR="003B3AA5" w:rsidRPr="00B534E1">
        <w:rPr>
          <w:rFonts w:asciiTheme="majorHAnsi" w:hAnsiTheme="majorHAnsi"/>
          <w:sz w:val="24"/>
          <w:szCs w:val="24"/>
          <w:lang w:val="es-MX"/>
        </w:rPr>
        <w:t>. Sorprende que para la evaluación del factor e) efectos económico-sociales, se señala que se considerarán los informes de la municipalidad, Ministerio del Interior</w:t>
      </w:r>
      <w:bookmarkStart w:id="0" w:name="_GoBack"/>
      <w:bookmarkEnd w:id="0"/>
      <w:r w:rsidR="003B3AA5" w:rsidRPr="00B534E1">
        <w:rPr>
          <w:rFonts w:asciiTheme="majorHAnsi" w:hAnsiTheme="majorHAnsi"/>
          <w:sz w:val="24"/>
          <w:szCs w:val="24"/>
          <w:lang w:val="es-MX"/>
        </w:rPr>
        <w:t xml:space="preserve">, Intendencia y </w:t>
      </w:r>
      <w:proofErr w:type="spellStart"/>
      <w:r w:rsidR="003B3AA5" w:rsidRPr="00B534E1">
        <w:rPr>
          <w:rFonts w:asciiTheme="majorHAnsi" w:hAnsiTheme="majorHAnsi"/>
          <w:sz w:val="24"/>
          <w:szCs w:val="24"/>
          <w:lang w:val="es-MX"/>
        </w:rPr>
        <w:t>Sernatur</w:t>
      </w:r>
      <w:proofErr w:type="spellEnd"/>
      <w:r w:rsidR="003B3AA5" w:rsidRPr="00B534E1">
        <w:rPr>
          <w:rFonts w:asciiTheme="majorHAnsi" w:hAnsiTheme="majorHAnsi"/>
          <w:sz w:val="24"/>
          <w:szCs w:val="24"/>
          <w:lang w:val="es-MX"/>
        </w:rPr>
        <w:t xml:space="preserve">. ¿Es decir, </w:t>
      </w:r>
      <w:r w:rsidR="00E53CF7" w:rsidRPr="00B534E1">
        <w:rPr>
          <w:rFonts w:asciiTheme="majorHAnsi" w:hAnsiTheme="majorHAnsi"/>
          <w:sz w:val="24"/>
          <w:szCs w:val="24"/>
          <w:lang w:val="es-MX"/>
        </w:rPr>
        <w:t>e</w:t>
      </w:r>
      <w:r w:rsidR="00726821" w:rsidRPr="00B534E1">
        <w:rPr>
          <w:rFonts w:asciiTheme="majorHAnsi" w:hAnsiTheme="majorHAnsi"/>
          <w:sz w:val="24"/>
          <w:szCs w:val="24"/>
          <w:lang w:val="es-MX"/>
        </w:rPr>
        <w:t xml:space="preserve">stos </w:t>
      </w:r>
      <w:r w:rsidR="00E53CF7" w:rsidRPr="00B534E1">
        <w:rPr>
          <w:rFonts w:asciiTheme="majorHAnsi" w:hAnsiTheme="majorHAnsi"/>
          <w:sz w:val="24"/>
          <w:szCs w:val="24"/>
          <w:lang w:val="es-MX"/>
        </w:rPr>
        <w:t xml:space="preserve">informes </w:t>
      </w:r>
      <w:r w:rsidR="003B3AA5" w:rsidRPr="00B534E1">
        <w:rPr>
          <w:rFonts w:asciiTheme="majorHAnsi" w:hAnsiTheme="majorHAnsi"/>
          <w:sz w:val="24"/>
          <w:szCs w:val="24"/>
          <w:lang w:val="es-MX"/>
        </w:rPr>
        <w:t>se ponderarán dos veces?</w:t>
      </w:r>
      <w:r w:rsidR="00264F8A" w:rsidRPr="00B534E1">
        <w:rPr>
          <w:rFonts w:asciiTheme="majorHAnsi" w:hAnsiTheme="majorHAnsi"/>
          <w:sz w:val="24"/>
          <w:szCs w:val="24"/>
          <w:lang w:val="es-MX"/>
        </w:rPr>
        <w:t xml:space="preserve"> Además, se debe considerar que las materias sobre las que se pronuncian dichos informes no se refieren a los efectos económico-sociales del proyecto.</w:t>
      </w:r>
      <w:r w:rsidR="001E3801" w:rsidRPr="00B534E1">
        <w:rPr>
          <w:rFonts w:asciiTheme="majorHAnsi" w:hAnsiTheme="majorHAnsi"/>
          <w:sz w:val="24"/>
          <w:szCs w:val="24"/>
          <w:lang w:val="es-MX"/>
        </w:rPr>
        <w:t xml:space="preserve"> Por tanto, no se entiende </w:t>
      </w:r>
      <w:r w:rsidR="00726821" w:rsidRPr="00B534E1">
        <w:rPr>
          <w:rFonts w:asciiTheme="majorHAnsi" w:hAnsiTheme="majorHAnsi"/>
          <w:sz w:val="24"/>
          <w:szCs w:val="24"/>
          <w:lang w:val="es-MX"/>
        </w:rPr>
        <w:t>por</w:t>
      </w:r>
      <w:r w:rsidR="00D64395">
        <w:rPr>
          <w:rFonts w:asciiTheme="majorHAnsi" w:hAnsiTheme="majorHAnsi"/>
          <w:sz w:val="24"/>
          <w:szCs w:val="24"/>
          <w:lang w:val="es-MX"/>
        </w:rPr>
        <w:t xml:space="preserve">que </w:t>
      </w:r>
      <w:r w:rsidR="001E3801" w:rsidRPr="00B534E1">
        <w:rPr>
          <w:rFonts w:asciiTheme="majorHAnsi" w:hAnsiTheme="majorHAnsi"/>
          <w:sz w:val="24"/>
          <w:szCs w:val="24"/>
          <w:lang w:val="es-MX"/>
        </w:rPr>
        <w:t xml:space="preserve">se </w:t>
      </w:r>
      <w:r w:rsidR="00E53CF7" w:rsidRPr="00B534E1">
        <w:rPr>
          <w:rFonts w:asciiTheme="majorHAnsi" w:hAnsiTheme="majorHAnsi"/>
          <w:sz w:val="24"/>
          <w:szCs w:val="24"/>
          <w:lang w:val="es-MX"/>
        </w:rPr>
        <w:t xml:space="preserve">tenga que </w:t>
      </w:r>
      <w:r w:rsidR="001E3801" w:rsidRPr="00B534E1">
        <w:rPr>
          <w:rFonts w:asciiTheme="majorHAnsi" w:hAnsiTheme="majorHAnsi"/>
          <w:sz w:val="24"/>
          <w:szCs w:val="24"/>
          <w:lang w:val="es-MX"/>
        </w:rPr>
        <w:t>bas</w:t>
      </w:r>
      <w:r w:rsidR="00E53CF7" w:rsidRPr="00B534E1">
        <w:rPr>
          <w:rFonts w:asciiTheme="majorHAnsi" w:hAnsiTheme="majorHAnsi"/>
          <w:sz w:val="24"/>
          <w:szCs w:val="24"/>
          <w:lang w:val="es-MX"/>
        </w:rPr>
        <w:t xml:space="preserve">ar </w:t>
      </w:r>
      <w:r w:rsidR="001E3801" w:rsidRPr="00B534E1">
        <w:rPr>
          <w:rFonts w:asciiTheme="majorHAnsi" w:hAnsiTheme="majorHAnsi"/>
          <w:sz w:val="24"/>
          <w:szCs w:val="24"/>
          <w:lang w:val="es-MX"/>
        </w:rPr>
        <w:t>en ellos para calificar este factor.</w:t>
      </w:r>
    </w:p>
    <w:p w:rsidR="003B3AA5" w:rsidRPr="00B534E1" w:rsidRDefault="005007B8" w:rsidP="004E12AA">
      <w:pPr>
        <w:pStyle w:val="Prrafodelista"/>
        <w:numPr>
          <w:ilvl w:val="2"/>
          <w:numId w:val="1"/>
        </w:numPr>
        <w:spacing w:after="0" w:line="240" w:lineRule="auto"/>
        <w:jc w:val="both"/>
        <w:rPr>
          <w:rFonts w:asciiTheme="majorHAnsi" w:hAnsiTheme="majorHAnsi"/>
          <w:sz w:val="24"/>
          <w:szCs w:val="24"/>
          <w:lang w:val="es-MX"/>
        </w:rPr>
      </w:pPr>
      <w:r w:rsidRPr="00B534E1">
        <w:rPr>
          <w:rFonts w:asciiTheme="majorHAnsi" w:hAnsiTheme="majorHAnsi"/>
          <w:sz w:val="24"/>
          <w:szCs w:val="24"/>
          <w:lang w:val="es-MX"/>
        </w:rPr>
        <w:t>Como ya se señaló, el reglamento exige p</w:t>
      </w:r>
      <w:r w:rsidR="008A56F0" w:rsidRPr="00B534E1">
        <w:rPr>
          <w:rFonts w:asciiTheme="majorHAnsi" w:hAnsiTheme="majorHAnsi"/>
          <w:sz w:val="24"/>
          <w:szCs w:val="24"/>
          <w:lang w:val="es-MX"/>
        </w:rPr>
        <w:t xml:space="preserve">ara cinco de los seis </w:t>
      </w:r>
      <w:proofErr w:type="spellStart"/>
      <w:r w:rsidR="008A56F0" w:rsidRPr="00B534E1">
        <w:rPr>
          <w:rFonts w:asciiTheme="majorHAnsi" w:hAnsiTheme="majorHAnsi"/>
          <w:sz w:val="24"/>
          <w:szCs w:val="24"/>
          <w:lang w:val="es-MX"/>
        </w:rPr>
        <w:t>subfactores</w:t>
      </w:r>
      <w:proofErr w:type="spellEnd"/>
      <w:r w:rsidR="008A56F0" w:rsidRPr="00B534E1">
        <w:rPr>
          <w:rFonts w:asciiTheme="majorHAnsi" w:hAnsiTheme="majorHAnsi"/>
          <w:sz w:val="24"/>
          <w:szCs w:val="24"/>
          <w:lang w:val="es-MX"/>
        </w:rPr>
        <w:t xml:space="preserve"> que evalúa la Superintendencia que tengan una calificación no inferior a 60 puntos, si no se cumple esa condición se califican con cero </w:t>
      </w:r>
      <w:r w:rsidR="00E53CF7" w:rsidRPr="00B534E1">
        <w:rPr>
          <w:rFonts w:asciiTheme="majorHAnsi" w:hAnsiTheme="majorHAnsi"/>
          <w:sz w:val="24"/>
          <w:szCs w:val="24"/>
          <w:lang w:val="es-MX"/>
        </w:rPr>
        <w:t xml:space="preserve">puntos </w:t>
      </w:r>
      <w:r w:rsidR="008A56F0" w:rsidRPr="00B534E1">
        <w:rPr>
          <w:rFonts w:asciiTheme="majorHAnsi" w:hAnsiTheme="majorHAnsi"/>
          <w:sz w:val="24"/>
          <w:szCs w:val="24"/>
          <w:lang w:val="es-MX"/>
        </w:rPr>
        <w:t xml:space="preserve">esos cinco </w:t>
      </w:r>
      <w:proofErr w:type="spellStart"/>
      <w:r w:rsidR="008A56F0" w:rsidRPr="00B534E1">
        <w:rPr>
          <w:rFonts w:asciiTheme="majorHAnsi" w:hAnsiTheme="majorHAnsi"/>
          <w:sz w:val="24"/>
          <w:szCs w:val="24"/>
          <w:lang w:val="es-MX"/>
        </w:rPr>
        <w:t>subfactores</w:t>
      </w:r>
      <w:proofErr w:type="spellEnd"/>
      <w:r w:rsidR="008A56F0" w:rsidRPr="00B534E1">
        <w:rPr>
          <w:rFonts w:asciiTheme="majorHAnsi" w:hAnsiTheme="majorHAnsi"/>
          <w:sz w:val="24"/>
          <w:szCs w:val="24"/>
          <w:lang w:val="es-MX"/>
        </w:rPr>
        <w:t>, obteniendo el proyecto men</w:t>
      </w:r>
      <w:r w:rsidRPr="00B534E1">
        <w:rPr>
          <w:rFonts w:asciiTheme="majorHAnsi" w:hAnsiTheme="majorHAnsi"/>
          <w:sz w:val="24"/>
          <w:szCs w:val="24"/>
          <w:lang w:val="es-MX"/>
        </w:rPr>
        <w:t xml:space="preserve">os de 600 puntos con lo cual </w:t>
      </w:r>
      <w:r w:rsidR="008A56F0" w:rsidRPr="00B534E1">
        <w:rPr>
          <w:rFonts w:asciiTheme="majorHAnsi" w:hAnsiTheme="majorHAnsi"/>
          <w:sz w:val="24"/>
          <w:szCs w:val="24"/>
          <w:lang w:val="es-MX"/>
        </w:rPr>
        <w:t xml:space="preserve">técnicamente no califica. Sin embargo, la ley exige para calificar alcanzar un 60% del puntaje total. Por tanto, las condiciones exigidas </w:t>
      </w:r>
      <w:r w:rsidRPr="00B534E1">
        <w:rPr>
          <w:rFonts w:asciiTheme="majorHAnsi" w:hAnsiTheme="majorHAnsi"/>
          <w:sz w:val="24"/>
          <w:szCs w:val="24"/>
          <w:lang w:val="es-MX"/>
        </w:rPr>
        <w:t xml:space="preserve">en </w:t>
      </w:r>
      <w:r w:rsidR="008A56F0" w:rsidRPr="00B534E1">
        <w:rPr>
          <w:rFonts w:asciiTheme="majorHAnsi" w:hAnsiTheme="majorHAnsi"/>
          <w:sz w:val="24"/>
          <w:szCs w:val="24"/>
          <w:lang w:val="es-MX"/>
        </w:rPr>
        <w:t xml:space="preserve">el reglamento exceden lo estipulado en la ley. Por otra parte, </w:t>
      </w:r>
      <w:r w:rsidR="00E53CF7" w:rsidRPr="00B534E1">
        <w:rPr>
          <w:rFonts w:asciiTheme="majorHAnsi" w:hAnsiTheme="majorHAnsi"/>
          <w:sz w:val="24"/>
          <w:szCs w:val="24"/>
          <w:lang w:val="es-MX"/>
        </w:rPr>
        <w:t>co</w:t>
      </w:r>
      <w:r w:rsidR="008A56F0" w:rsidRPr="00B534E1">
        <w:rPr>
          <w:rFonts w:asciiTheme="majorHAnsi" w:hAnsiTheme="majorHAnsi"/>
          <w:sz w:val="24"/>
          <w:szCs w:val="24"/>
          <w:lang w:val="es-MX"/>
        </w:rPr>
        <w:t xml:space="preserve">mo se desconoce el mecanismo de evaluación de estos </w:t>
      </w:r>
      <w:proofErr w:type="spellStart"/>
      <w:r w:rsidR="008A56F0" w:rsidRPr="00B534E1">
        <w:rPr>
          <w:rFonts w:asciiTheme="majorHAnsi" w:hAnsiTheme="majorHAnsi"/>
          <w:sz w:val="24"/>
          <w:szCs w:val="24"/>
          <w:lang w:val="es-MX"/>
        </w:rPr>
        <w:t>subfactores</w:t>
      </w:r>
      <w:proofErr w:type="spellEnd"/>
      <w:r w:rsidR="008A56F0" w:rsidRPr="00B534E1">
        <w:rPr>
          <w:rFonts w:asciiTheme="majorHAnsi" w:hAnsiTheme="majorHAnsi"/>
          <w:sz w:val="24"/>
          <w:szCs w:val="24"/>
          <w:lang w:val="es-MX"/>
        </w:rPr>
        <w:t xml:space="preserve">, </w:t>
      </w:r>
      <w:r w:rsidR="00D64395">
        <w:rPr>
          <w:rFonts w:asciiTheme="majorHAnsi" w:hAnsiTheme="majorHAnsi"/>
          <w:sz w:val="24"/>
          <w:szCs w:val="24"/>
          <w:lang w:val="es-MX"/>
        </w:rPr>
        <w:t xml:space="preserve">se pueden generar situaciones </w:t>
      </w:r>
      <w:proofErr w:type="spellStart"/>
      <w:r w:rsidR="00D64395">
        <w:rPr>
          <w:rFonts w:asciiTheme="majorHAnsi" w:hAnsiTheme="majorHAnsi"/>
          <w:sz w:val="24"/>
          <w:szCs w:val="24"/>
          <w:lang w:val="es-MX"/>
        </w:rPr>
        <w:t>arbitarias</w:t>
      </w:r>
      <w:proofErr w:type="spellEnd"/>
      <w:r w:rsidR="00D64395">
        <w:rPr>
          <w:rFonts w:asciiTheme="majorHAnsi" w:hAnsiTheme="majorHAnsi"/>
          <w:sz w:val="24"/>
          <w:szCs w:val="24"/>
          <w:lang w:val="es-MX"/>
        </w:rPr>
        <w:t xml:space="preserve"> para </w:t>
      </w:r>
      <w:r w:rsidR="00E53CF7" w:rsidRPr="00B534E1">
        <w:rPr>
          <w:rFonts w:asciiTheme="majorHAnsi" w:hAnsiTheme="majorHAnsi"/>
          <w:sz w:val="24"/>
          <w:szCs w:val="24"/>
          <w:lang w:val="es-MX"/>
        </w:rPr>
        <w:t xml:space="preserve">las sociedades postulantes, </w:t>
      </w:r>
      <w:r w:rsidR="00D64395">
        <w:rPr>
          <w:rFonts w:asciiTheme="majorHAnsi" w:hAnsiTheme="majorHAnsi"/>
          <w:sz w:val="24"/>
          <w:szCs w:val="24"/>
          <w:lang w:val="es-MX"/>
        </w:rPr>
        <w:t xml:space="preserve">lo que </w:t>
      </w:r>
      <w:r w:rsidR="00E53CF7" w:rsidRPr="00B534E1">
        <w:rPr>
          <w:rFonts w:asciiTheme="majorHAnsi" w:hAnsiTheme="majorHAnsi"/>
          <w:sz w:val="24"/>
          <w:szCs w:val="24"/>
          <w:lang w:val="es-MX"/>
        </w:rPr>
        <w:t xml:space="preserve">no </w:t>
      </w:r>
      <w:r w:rsidR="00D64395">
        <w:rPr>
          <w:rFonts w:asciiTheme="majorHAnsi" w:hAnsiTheme="majorHAnsi"/>
          <w:sz w:val="24"/>
          <w:szCs w:val="24"/>
          <w:lang w:val="es-MX"/>
        </w:rPr>
        <w:t>es deseable</w:t>
      </w:r>
      <w:r w:rsidR="00E53CF7" w:rsidRPr="00B534E1">
        <w:rPr>
          <w:rFonts w:asciiTheme="majorHAnsi" w:hAnsiTheme="majorHAnsi"/>
          <w:sz w:val="24"/>
          <w:szCs w:val="24"/>
          <w:lang w:val="es-MX"/>
        </w:rPr>
        <w:t xml:space="preserve"> desde el </w:t>
      </w:r>
      <w:r w:rsidR="00E53CF7" w:rsidRPr="00B534E1">
        <w:rPr>
          <w:rFonts w:asciiTheme="majorHAnsi" w:hAnsiTheme="majorHAnsi"/>
          <w:sz w:val="24"/>
          <w:szCs w:val="24"/>
          <w:lang w:val="es-MX"/>
        </w:rPr>
        <w:lastRenderedPageBreak/>
        <w:t xml:space="preserve">punto de vista de la transparencia y la instauración de medidas para evitar y/o prevenir situaciones </w:t>
      </w:r>
      <w:r w:rsidR="00D64395">
        <w:rPr>
          <w:rFonts w:asciiTheme="majorHAnsi" w:hAnsiTheme="majorHAnsi"/>
          <w:sz w:val="24"/>
          <w:szCs w:val="24"/>
          <w:lang w:val="es-MX"/>
        </w:rPr>
        <w:t>complejas</w:t>
      </w:r>
      <w:r w:rsidR="008A56F0" w:rsidRPr="00B534E1">
        <w:rPr>
          <w:rFonts w:asciiTheme="majorHAnsi" w:hAnsiTheme="majorHAnsi"/>
          <w:sz w:val="24"/>
          <w:szCs w:val="24"/>
          <w:lang w:val="es-MX"/>
        </w:rPr>
        <w:t>.</w:t>
      </w:r>
    </w:p>
    <w:p w:rsidR="008A56F0" w:rsidRPr="00B534E1" w:rsidRDefault="008A56F0" w:rsidP="008A56F0">
      <w:pPr>
        <w:spacing w:after="0" w:line="240" w:lineRule="auto"/>
        <w:jc w:val="both"/>
        <w:rPr>
          <w:rFonts w:asciiTheme="majorHAnsi" w:hAnsiTheme="majorHAnsi"/>
          <w:sz w:val="24"/>
          <w:szCs w:val="24"/>
          <w:lang w:val="es-MX"/>
        </w:rPr>
      </w:pPr>
    </w:p>
    <w:p w:rsidR="002F5D6D" w:rsidRPr="00B534E1" w:rsidRDefault="002F5D6D" w:rsidP="00E53CF7">
      <w:pPr>
        <w:pStyle w:val="Prrafodelista"/>
        <w:numPr>
          <w:ilvl w:val="0"/>
          <w:numId w:val="13"/>
        </w:numPr>
        <w:spacing w:after="0" w:line="240" w:lineRule="auto"/>
        <w:jc w:val="both"/>
        <w:rPr>
          <w:rFonts w:asciiTheme="majorHAnsi" w:hAnsiTheme="majorHAnsi"/>
          <w:b/>
          <w:sz w:val="24"/>
          <w:szCs w:val="24"/>
          <w:lang w:val="es-MX"/>
        </w:rPr>
      </w:pPr>
      <w:r w:rsidRPr="00B534E1">
        <w:rPr>
          <w:rFonts w:asciiTheme="majorHAnsi" w:hAnsiTheme="majorHAnsi"/>
          <w:b/>
          <w:sz w:val="24"/>
          <w:szCs w:val="24"/>
          <w:lang w:val="es-MX"/>
        </w:rPr>
        <w:t>Modificaciones sustanciales en las condiciones de renovación de un permiso de operación</w:t>
      </w:r>
      <w:r w:rsidR="002D1A05">
        <w:rPr>
          <w:rFonts w:asciiTheme="majorHAnsi" w:hAnsiTheme="majorHAnsi"/>
          <w:b/>
          <w:sz w:val="24"/>
          <w:szCs w:val="24"/>
          <w:lang w:val="es-MX"/>
        </w:rPr>
        <w:t>.</w:t>
      </w:r>
    </w:p>
    <w:p w:rsidR="002F5D6D" w:rsidRPr="00B534E1" w:rsidRDefault="002F5D6D" w:rsidP="002F5D6D">
      <w:pPr>
        <w:pStyle w:val="Prrafodelista"/>
        <w:spacing w:after="0" w:line="240" w:lineRule="auto"/>
        <w:ind w:left="360"/>
        <w:jc w:val="both"/>
        <w:rPr>
          <w:rFonts w:asciiTheme="majorHAnsi" w:hAnsiTheme="majorHAnsi"/>
          <w:sz w:val="24"/>
          <w:szCs w:val="24"/>
          <w:lang w:val="es-MX"/>
        </w:rPr>
      </w:pPr>
    </w:p>
    <w:p w:rsidR="00E905C9" w:rsidRPr="00B534E1" w:rsidRDefault="00A67FFA" w:rsidP="00B87645">
      <w:pPr>
        <w:pStyle w:val="Prrafodelista"/>
        <w:numPr>
          <w:ilvl w:val="0"/>
          <w:numId w:val="14"/>
        </w:numPr>
        <w:spacing w:after="0" w:line="240" w:lineRule="auto"/>
        <w:ind w:left="1134"/>
        <w:jc w:val="both"/>
        <w:rPr>
          <w:rFonts w:asciiTheme="majorHAnsi" w:hAnsiTheme="majorHAnsi"/>
          <w:sz w:val="24"/>
          <w:szCs w:val="24"/>
          <w:lang w:val="es-MX"/>
        </w:rPr>
      </w:pPr>
      <w:r w:rsidRPr="00B534E1">
        <w:rPr>
          <w:rFonts w:asciiTheme="majorHAnsi" w:hAnsiTheme="majorHAnsi"/>
          <w:sz w:val="24"/>
          <w:szCs w:val="24"/>
          <w:lang w:val="es-MX"/>
        </w:rPr>
        <w:t xml:space="preserve">En el artículo 34, </w:t>
      </w:r>
      <w:r w:rsidR="00A77AB5">
        <w:rPr>
          <w:rFonts w:asciiTheme="majorHAnsi" w:hAnsiTheme="majorHAnsi"/>
          <w:sz w:val="24"/>
          <w:szCs w:val="24"/>
          <w:lang w:val="es-MX"/>
        </w:rPr>
        <w:t>N°</w:t>
      </w:r>
      <w:r w:rsidRPr="00B534E1">
        <w:rPr>
          <w:rFonts w:asciiTheme="majorHAnsi" w:hAnsiTheme="majorHAnsi"/>
          <w:sz w:val="24"/>
          <w:szCs w:val="24"/>
          <w:lang w:val="es-MX"/>
        </w:rPr>
        <w:t xml:space="preserve"> </w:t>
      </w:r>
      <w:r w:rsidR="00E905C9" w:rsidRPr="00B534E1">
        <w:rPr>
          <w:rFonts w:asciiTheme="majorHAnsi" w:hAnsiTheme="majorHAnsi"/>
          <w:sz w:val="24"/>
          <w:szCs w:val="24"/>
          <w:lang w:val="es-MX"/>
        </w:rPr>
        <w:t xml:space="preserve">1, </w:t>
      </w:r>
      <w:r w:rsidR="00D07E34" w:rsidRPr="00B534E1">
        <w:rPr>
          <w:rFonts w:asciiTheme="majorHAnsi" w:hAnsiTheme="majorHAnsi"/>
          <w:sz w:val="24"/>
          <w:szCs w:val="24"/>
          <w:lang w:val="es-MX"/>
        </w:rPr>
        <w:t xml:space="preserve">se señala que las </w:t>
      </w:r>
      <w:r w:rsidR="00D07E34" w:rsidRPr="002D1A05">
        <w:rPr>
          <w:rFonts w:asciiTheme="majorHAnsi" w:hAnsiTheme="majorHAnsi"/>
          <w:i/>
          <w:sz w:val="24"/>
          <w:szCs w:val="24"/>
          <w:lang w:val="es-MX"/>
        </w:rPr>
        <w:t>“</w:t>
      </w:r>
      <w:r w:rsidR="00A77AB5" w:rsidRPr="002D1A05">
        <w:rPr>
          <w:rFonts w:asciiTheme="majorHAnsi" w:hAnsiTheme="majorHAnsi"/>
          <w:i/>
          <w:sz w:val="24"/>
          <w:szCs w:val="24"/>
          <w:lang w:val="es-MX"/>
        </w:rPr>
        <w:t>…</w:t>
      </w:r>
      <w:r w:rsidR="00D07E34" w:rsidRPr="002D1A05">
        <w:rPr>
          <w:rFonts w:asciiTheme="majorHAnsi" w:hAnsiTheme="majorHAnsi"/>
          <w:i/>
          <w:sz w:val="24"/>
          <w:szCs w:val="24"/>
          <w:lang w:val="es-MX"/>
        </w:rPr>
        <w:t xml:space="preserve">modificaciones, adecuaciones o nuevas obras </w:t>
      </w:r>
      <w:r w:rsidR="00D07E34" w:rsidRPr="002D1A05">
        <w:rPr>
          <w:rFonts w:asciiTheme="majorHAnsi" w:hAnsiTheme="majorHAnsi"/>
          <w:i/>
          <w:sz w:val="24"/>
          <w:szCs w:val="24"/>
          <w:u w:val="single"/>
          <w:lang w:val="es-MX"/>
        </w:rPr>
        <w:t>que ameriten, a juicio de la Superintendencia</w:t>
      </w:r>
      <w:r w:rsidR="00D07E34" w:rsidRPr="002D1A05">
        <w:rPr>
          <w:rFonts w:asciiTheme="majorHAnsi" w:hAnsiTheme="majorHAnsi"/>
          <w:i/>
          <w:sz w:val="24"/>
          <w:szCs w:val="24"/>
          <w:lang w:val="es-MX"/>
        </w:rPr>
        <w:t>, recabar los respectivos informes y antecedentes, y efectuar una nueva evaluación y ponderación”</w:t>
      </w:r>
      <w:r w:rsidR="00D07E34" w:rsidRPr="00B534E1">
        <w:rPr>
          <w:rFonts w:asciiTheme="majorHAnsi" w:hAnsiTheme="majorHAnsi"/>
          <w:sz w:val="24"/>
          <w:szCs w:val="24"/>
          <w:lang w:val="es-MX"/>
        </w:rPr>
        <w:t xml:space="preserve">. </w:t>
      </w:r>
      <w:r w:rsidR="00667332" w:rsidRPr="00B534E1">
        <w:rPr>
          <w:rFonts w:asciiTheme="majorHAnsi" w:hAnsiTheme="majorHAnsi"/>
          <w:sz w:val="24"/>
          <w:szCs w:val="24"/>
          <w:lang w:val="es-MX"/>
        </w:rPr>
        <w:t>Esto genera una nueva incertidumbre a la</w:t>
      </w:r>
      <w:r w:rsidR="00A77AB5">
        <w:rPr>
          <w:rFonts w:asciiTheme="majorHAnsi" w:hAnsiTheme="majorHAnsi"/>
          <w:sz w:val="24"/>
          <w:szCs w:val="24"/>
          <w:lang w:val="es-MX"/>
        </w:rPr>
        <w:t>s</w:t>
      </w:r>
      <w:r w:rsidR="00667332" w:rsidRPr="00B534E1">
        <w:rPr>
          <w:rFonts w:asciiTheme="majorHAnsi" w:hAnsiTheme="majorHAnsi"/>
          <w:sz w:val="24"/>
          <w:szCs w:val="24"/>
          <w:lang w:val="es-MX"/>
        </w:rPr>
        <w:t xml:space="preserve"> sociedad</w:t>
      </w:r>
      <w:r w:rsidR="00A77AB5">
        <w:rPr>
          <w:rFonts w:asciiTheme="majorHAnsi" w:hAnsiTheme="majorHAnsi"/>
          <w:sz w:val="24"/>
          <w:szCs w:val="24"/>
          <w:lang w:val="es-MX"/>
        </w:rPr>
        <w:t>es</w:t>
      </w:r>
      <w:r w:rsidR="00667332" w:rsidRPr="00B534E1">
        <w:rPr>
          <w:rFonts w:asciiTheme="majorHAnsi" w:hAnsiTheme="majorHAnsi"/>
          <w:sz w:val="24"/>
          <w:szCs w:val="24"/>
          <w:lang w:val="es-MX"/>
        </w:rPr>
        <w:t>, ya que queda</w:t>
      </w:r>
      <w:r w:rsidR="00A77AB5">
        <w:rPr>
          <w:rFonts w:asciiTheme="majorHAnsi" w:hAnsiTheme="majorHAnsi"/>
          <w:sz w:val="24"/>
          <w:szCs w:val="24"/>
          <w:lang w:val="es-MX"/>
        </w:rPr>
        <w:t>rán</w:t>
      </w:r>
      <w:r w:rsidR="00667332" w:rsidRPr="00B534E1">
        <w:rPr>
          <w:rFonts w:asciiTheme="majorHAnsi" w:hAnsiTheme="majorHAnsi"/>
          <w:sz w:val="24"/>
          <w:szCs w:val="24"/>
          <w:lang w:val="es-MX"/>
        </w:rPr>
        <w:t xml:space="preserve"> sujeta</w:t>
      </w:r>
      <w:r w:rsidR="00A77AB5">
        <w:rPr>
          <w:rFonts w:asciiTheme="majorHAnsi" w:hAnsiTheme="majorHAnsi"/>
          <w:sz w:val="24"/>
          <w:szCs w:val="24"/>
          <w:lang w:val="es-MX"/>
        </w:rPr>
        <w:t>s</w:t>
      </w:r>
      <w:r w:rsidR="00667332" w:rsidRPr="00B534E1">
        <w:rPr>
          <w:rFonts w:asciiTheme="majorHAnsi" w:hAnsiTheme="majorHAnsi"/>
          <w:sz w:val="24"/>
          <w:szCs w:val="24"/>
          <w:lang w:val="es-MX"/>
        </w:rPr>
        <w:t xml:space="preserve"> a un criterio no definido, lo que afectará la evaluación de su solicitud de renovación.</w:t>
      </w:r>
    </w:p>
    <w:p w:rsidR="00E905C9" w:rsidRPr="00B534E1" w:rsidRDefault="00E905C9" w:rsidP="00E905C9">
      <w:pPr>
        <w:pStyle w:val="Prrafodelista"/>
        <w:spacing w:after="0" w:line="240" w:lineRule="auto"/>
        <w:ind w:left="1080"/>
        <w:jc w:val="both"/>
        <w:rPr>
          <w:rFonts w:asciiTheme="majorHAnsi" w:hAnsiTheme="majorHAnsi"/>
          <w:sz w:val="24"/>
          <w:szCs w:val="24"/>
          <w:lang w:val="es-MX"/>
        </w:rPr>
      </w:pPr>
    </w:p>
    <w:p w:rsidR="00A77AB5" w:rsidRDefault="00E905C9" w:rsidP="00B87645">
      <w:pPr>
        <w:pStyle w:val="Prrafodelista"/>
        <w:numPr>
          <w:ilvl w:val="0"/>
          <w:numId w:val="14"/>
        </w:numPr>
        <w:spacing w:after="0" w:line="240" w:lineRule="auto"/>
        <w:ind w:left="1134"/>
        <w:jc w:val="both"/>
        <w:rPr>
          <w:rFonts w:asciiTheme="majorHAnsi" w:hAnsiTheme="majorHAnsi"/>
          <w:sz w:val="24"/>
          <w:szCs w:val="24"/>
          <w:lang w:val="es-MX"/>
        </w:rPr>
      </w:pPr>
      <w:r w:rsidRPr="00B534E1">
        <w:rPr>
          <w:rFonts w:asciiTheme="majorHAnsi" w:hAnsiTheme="majorHAnsi"/>
          <w:sz w:val="24"/>
          <w:szCs w:val="24"/>
          <w:lang w:val="es-MX"/>
        </w:rPr>
        <w:t xml:space="preserve">En el </w:t>
      </w:r>
      <w:r w:rsidR="00A77AB5">
        <w:rPr>
          <w:rFonts w:asciiTheme="majorHAnsi" w:hAnsiTheme="majorHAnsi"/>
          <w:sz w:val="24"/>
          <w:szCs w:val="24"/>
          <w:lang w:val="es-MX"/>
        </w:rPr>
        <w:t xml:space="preserve">N° 2 del </w:t>
      </w:r>
      <w:r w:rsidRPr="00B534E1">
        <w:rPr>
          <w:rFonts w:asciiTheme="majorHAnsi" w:hAnsiTheme="majorHAnsi"/>
          <w:sz w:val="24"/>
          <w:szCs w:val="24"/>
          <w:lang w:val="es-MX"/>
        </w:rPr>
        <w:t>artículo 34</w:t>
      </w:r>
      <w:r w:rsidR="00A67FFA" w:rsidRPr="00B534E1">
        <w:rPr>
          <w:rFonts w:asciiTheme="majorHAnsi" w:hAnsiTheme="majorHAnsi"/>
          <w:sz w:val="24"/>
          <w:szCs w:val="24"/>
          <w:lang w:val="es-MX"/>
        </w:rPr>
        <w:t>, se señala que cuando una sociedad operadora solicit</w:t>
      </w:r>
      <w:r w:rsidR="00A77AB5">
        <w:rPr>
          <w:rFonts w:asciiTheme="majorHAnsi" w:hAnsiTheme="majorHAnsi"/>
          <w:sz w:val="24"/>
          <w:szCs w:val="24"/>
          <w:lang w:val="es-MX"/>
        </w:rPr>
        <w:t>e</w:t>
      </w:r>
      <w:r w:rsidR="00A67FFA" w:rsidRPr="00B534E1">
        <w:rPr>
          <w:rFonts w:asciiTheme="majorHAnsi" w:hAnsiTheme="majorHAnsi"/>
          <w:sz w:val="24"/>
          <w:szCs w:val="24"/>
          <w:lang w:val="es-MX"/>
        </w:rPr>
        <w:t xml:space="preserve"> la renovación de su permiso, la inversión </w:t>
      </w:r>
      <w:r w:rsidR="000F1340" w:rsidRPr="00B534E1">
        <w:rPr>
          <w:rFonts w:asciiTheme="majorHAnsi" w:hAnsiTheme="majorHAnsi"/>
          <w:sz w:val="24"/>
          <w:szCs w:val="24"/>
          <w:lang w:val="es-MX"/>
        </w:rPr>
        <w:t xml:space="preserve">ya </w:t>
      </w:r>
      <w:r w:rsidR="00A67FFA" w:rsidRPr="00B534E1">
        <w:rPr>
          <w:rFonts w:asciiTheme="majorHAnsi" w:hAnsiTheme="majorHAnsi"/>
          <w:sz w:val="24"/>
          <w:szCs w:val="24"/>
          <w:lang w:val="es-MX"/>
        </w:rPr>
        <w:t xml:space="preserve">realizada </w:t>
      </w:r>
      <w:r w:rsidR="000F1340" w:rsidRPr="00B534E1">
        <w:rPr>
          <w:rFonts w:asciiTheme="majorHAnsi" w:hAnsiTheme="majorHAnsi"/>
          <w:sz w:val="24"/>
          <w:szCs w:val="24"/>
          <w:lang w:val="es-MX"/>
        </w:rPr>
        <w:t xml:space="preserve">por la sociedad operadora </w:t>
      </w:r>
      <w:r w:rsidR="00A67FFA" w:rsidRPr="00B534E1">
        <w:rPr>
          <w:rFonts w:asciiTheme="majorHAnsi" w:hAnsiTheme="majorHAnsi"/>
          <w:sz w:val="24"/>
          <w:szCs w:val="24"/>
          <w:lang w:val="es-MX"/>
        </w:rPr>
        <w:t>no se ponderará</w:t>
      </w:r>
      <w:r w:rsidRPr="00B534E1">
        <w:rPr>
          <w:rFonts w:asciiTheme="majorHAnsi" w:hAnsiTheme="majorHAnsi"/>
          <w:sz w:val="24"/>
          <w:szCs w:val="24"/>
          <w:lang w:val="es-MX"/>
        </w:rPr>
        <w:t xml:space="preserve"> para efectos de calcular el monto de la inversión total</w:t>
      </w:r>
      <w:r w:rsidR="00A67FFA" w:rsidRPr="00B534E1">
        <w:rPr>
          <w:rFonts w:asciiTheme="majorHAnsi" w:hAnsiTheme="majorHAnsi"/>
          <w:sz w:val="24"/>
          <w:szCs w:val="24"/>
          <w:lang w:val="es-MX"/>
        </w:rPr>
        <w:t xml:space="preserve">. </w:t>
      </w:r>
    </w:p>
    <w:p w:rsidR="00A77AB5" w:rsidRPr="002D1A05" w:rsidRDefault="00A77AB5" w:rsidP="002D1A05">
      <w:pPr>
        <w:pStyle w:val="Prrafodelista"/>
        <w:rPr>
          <w:rFonts w:asciiTheme="majorHAnsi" w:hAnsiTheme="majorHAnsi"/>
          <w:sz w:val="24"/>
          <w:szCs w:val="24"/>
          <w:lang w:val="es-MX"/>
        </w:rPr>
      </w:pPr>
    </w:p>
    <w:p w:rsidR="008A56F0" w:rsidRDefault="00A67FFA" w:rsidP="002D1A05">
      <w:pPr>
        <w:pStyle w:val="Prrafodelista"/>
        <w:spacing w:after="0" w:line="240" w:lineRule="auto"/>
        <w:ind w:left="1134"/>
        <w:jc w:val="both"/>
        <w:rPr>
          <w:rFonts w:asciiTheme="majorHAnsi" w:hAnsiTheme="majorHAnsi"/>
          <w:sz w:val="24"/>
          <w:szCs w:val="24"/>
          <w:lang w:val="es-MX"/>
        </w:rPr>
      </w:pPr>
      <w:r w:rsidRPr="00B534E1">
        <w:rPr>
          <w:rFonts w:asciiTheme="majorHAnsi" w:hAnsiTheme="majorHAnsi"/>
          <w:sz w:val="24"/>
          <w:szCs w:val="24"/>
          <w:lang w:val="es-MX"/>
        </w:rPr>
        <w:t xml:space="preserve">Este cambio </w:t>
      </w:r>
      <w:r w:rsidR="00D70CC1">
        <w:rPr>
          <w:rFonts w:asciiTheme="majorHAnsi" w:hAnsiTheme="majorHAnsi"/>
          <w:sz w:val="24"/>
          <w:szCs w:val="24"/>
          <w:lang w:val="es-MX"/>
        </w:rPr>
        <w:t xml:space="preserve">normativo </w:t>
      </w:r>
      <w:r w:rsidR="00D70CC1" w:rsidRPr="00D70CC1">
        <w:rPr>
          <w:rFonts w:asciiTheme="majorHAnsi" w:hAnsiTheme="majorHAnsi"/>
          <w:sz w:val="24"/>
          <w:szCs w:val="24"/>
          <w:lang w:val="es-MX"/>
        </w:rPr>
        <w:t xml:space="preserve">respecto de lo </w:t>
      </w:r>
      <w:r w:rsidR="00D70CC1">
        <w:rPr>
          <w:rFonts w:asciiTheme="majorHAnsi" w:hAnsiTheme="majorHAnsi"/>
          <w:sz w:val="24"/>
          <w:szCs w:val="24"/>
          <w:lang w:val="es-MX"/>
        </w:rPr>
        <w:t xml:space="preserve">hoy establece </w:t>
      </w:r>
      <w:r w:rsidR="00D70CC1" w:rsidRPr="00D70CC1">
        <w:rPr>
          <w:rFonts w:asciiTheme="majorHAnsi" w:hAnsiTheme="majorHAnsi"/>
          <w:sz w:val="24"/>
          <w:szCs w:val="24"/>
          <w:lang w:val="es-MX"/>
        </w:rPr>
        <w:t>el DS N° 211</w:t>
      </w:r>
      <w:r w:rsidR="00D70CC1">
        <w:rPr>
          <w:rFonts w:asciiTheme="majorHAnsi" w:hAnsiTheme="majorHAnsi"/>
          <w:sz w:val="24"/>
          <w:szCs w:val="24"/>
          <w:lang w:val="es-MX"/>
        </w:rPr>
        <w:t xml:space="preserve"> altera de manera </w:t>
      </w:r>
      <w:r w:rsidRPr="00B534E1">
        <w:rPr>
          <w:rFonts w:asciiTheme="majorHAnsi" w:hAnsiTheme="majorHAnsi"/>
          <w:sz w:val="24"/>
          <w:szCs w:val="24"/>
          <w:lang w:val="es-MX"/>
        </w:rPr>
        <w:t>significativ</w:t>
      </w:r>
      <w:r w:rsidR="00D70CC1">
        <w:rPr>
          <w:rFonts w:asciiTheme="majorHAnsi" w:hAnsiTheme="majorHAnsi"/>
          <w:sz w:val="24"/>
          <w:szCs w:val="24"/>
          <w:lang w:val="es-MX"/>
        </w:rPr>
        <w:t>a las condiciones que tuvieron a la vista las sociedades operadoras y los inversionistas que se adjudicaron permisos de operación para casinos de juego</w:t>
      </w:r>
      <w:r w:rsidRPr="00B534E1">
        <w:rPr>
          <w:rFonts w:asciiTheme="majorHAnsi" w:hAnsiTheme="majorHAnsi"/>
          <w:sz w:val="24"/>
          <w:szCs w:val="24"/>
          <w:lang w:val="es-MX"/>
        </w:rPr>
        <w:t xml:space="preserve"> </w:t>
      </w:r>
      <w:r w:rsidR="00D70CC1">
        <w:rPr>
          <w:rFonts w:asciiTheme="majorHAnsi" w:hAnsiTheme="majorHAnsi"/>
          <w:sz w:val="24"/>
          <w:szCs w:val="24"/>
          <w:lang w:val="es-MX"/>
        </w:rPr>
        <w:t>en los procesos que tuvieron lugar entre el año 2005 y la fecha actual</w:t>
      </w:r>
      <w:r w:rsidRPr="00B534E1">
        <w:rPr>
          <w:rFonts w:asciiTheme="majorHAnsi" w:hAnsiTheme="majorHAnsi"/>
          <w:sz w:val="24"/>
          <w:szCs w:val="24"/>
          <w:lang w:val="es-MX"/>
        </w:rPr>
        <w:t xml:space="preserve">, </w:t>
      </w:r>
      <w:r w:rsidR="00D70CC1">
        <w:rPr>
          <w:rFonts w:asciiTheme="majorHAnsi" w:hAnsiTheme="majorHAnsi"/>
          <w:sz w:val="24"/>
          <w:szCs w:val="24"/>
          <w:lang w:val="es-MX"/>
        </w:rPr>
        <w:t xml:space="preserve">dado que la norma vigente prescribe </w:t>
      </w:r>
      <w:r w:rsidRPr="00B534E1">
        <w:rPr>
          <w:rFonts w:asciiTheme="majorHAnsi" w:hAnsiTheme="majorHAnsi"/>
          <w:sz w:val="24"/>
          <w:szCs w:val="24"/>
          <w:lang w:val="es-MX"/>
        </w:rPr>
        <w:t>que dichas inversiones serán consideradas al valor que tengan al mom</w:t>
      </w:r>
      <w:r w:rsidR="00E905C9" w:rsidRPr="00B534E1">
        <w:rPr>
          <w:rFonts w:asciiTheme="majorHAnsi" w:hAnsiTheme="majorHAnsi"/>
          <w:sz w:val="24"/>
          <w:szCs w:val="24"/>
          <w:lang w:val="es-MX"/>
        </w:rPr>
        <w:t>ento de solicitar la renovación.</w:t>
      </w:r>
    </w:p>
    <w:p w:rsidR="00D70CC1" w:rsidRDefault="00D70CC1" w:rsidP="002D1A05">
      <w:pPr>
        <w:pStyle w:val="Prrafodelista"/>
        <w:spacing w:after="0" w:line="240" w:lineRule="auto"/>
        <w:ind w:left="1134"/>
        <w:jc w:val="both"/>
        <w:rPr>
          <w:rFonts w:asciiTheme="majorHAnsi" w:hAnsiTheme="majorHAnsi"/>
          <w:sz w:val="24"/>
          <w:szCs w:val="24"/>
          <w:lang w:val="es-MX"/>
        </w:rPr>
      </w:pPr>
    </w:p>
    <w:p w:rsidR="00D70CC1" w:rsidRPr="00B534E1" w:rsidRDefault="00D70CC1" w:rsidP="002D1A05">
      <w:pPr>
        <w:pStyle w:val="Prrafodelista"/>
        <w:spacing w:after="0" w:line="240" w:lineRule="auto"/>
        <w:ind w:left="1134"/>
        <w:jc w:val="both"/>
        <w:rPr>
          <w:rFonts w:asciiTheme="majorHAnsi" w:hAnsiTheme="majorHAnsi"/>
          <w:sz w:val="24"/>
          <w:szCs w:val="24"/>
          <w:lang w:val="es-MX"/>
        </w:rPr>
      </w:pPr>
      <w:r>
        <w:rPr>
          <w:rFonts w:asciiTheme="majorHAnsi" w:hAnsiTheme="majorHAnsi"/>
          <w:sz w:val="24"/>
          <w:szCs w:val="24"/>
          <w:lang w:val="es-MX"/>
        </w:rPr>
        <w:t xml:space="preserve">Una modificación de este tipo es inconstitucional pues afecta el derecho de propiedad de las sociedades operadoras </w:t>
      </w:r>
      <w:r w:rsidR="002D1A05">
        <w:rPr>
          <w:rFonts w:asciiTheme="majorHAnsi" w:hAnsiTheme="majorHAnsi"/>
          <w:sz w:val="24"/>
          <w:szCs w:val="24"/>
          <w:lang w:val="es-MX"/>
        </w:rPr>
        <w:t>que obtuvieron permisos de operación asumiendo --e incorporando a su patrimonio este derecho-- que la inversión que harían sería considerada en los términos antes señalados al momento de la renovación de los permisos de operación. La defensa de dichos derechos por parte de las sociedades operadoras actuales a</w:t>
      </w:r>
      <w:r>
        <w:rPr>
          <w:rFonts w:asciiTheme="majorHAnsi" w:hAnsiTheme="majorHAnsi"/>
          <w:sz w:val="24"/>
          <w:szCs w:val="24"/>
          <w:lang w:val="es-MX"/>
        </w:rPr>
        <w:t>menaza con judicializar el presente proceso hasta llevarlo incluso a tribunales internacionales.</w:t>
      </w:r>
    </w:p>
    <w:p w:rsidR="000F1340" w:rsidRPr="00B534E1" w:rsidRDefault="000F1340" w:rsidP="00B87645">
      <w:pPr>
        <w:pStyle w:val="Prrafodelista"/>
        <w:spacing w:after="0" w:line="240" w:lineRule="auto"/>
        <w:ind w:left="1134"/>
        <w:jc w:val="both"/>
        <w:rPr>
          <w:rFonts w:asciiTheme="majorHAnsi" w:hAnsiTheme="majorHAnsi"/>
          <w:sz w:val="24"/>
          <w:szCs w:val="24"/>
          <w:lang w:val="es-MX"/>
        </w:rPr>
      </w:pPr>
    </w:p>
    <w:p w:rsidR="0036715D" w:rsidRDefault="000F1340" w:rsidP="00B87645">
      <w:pPr>
        <w:pStyle w:val="Prrafodelista"/>
        <w:numPr>
          <w:ilvl w:val="0"/>
          <w:numId w:val="14"/>
        </w:numPr>
        <w:spacing w:after="0" w:line="240" w:lineRule="auto"/>
        <w:ind w:left="1134"/>
        <w:jc w:val="both"/>
        <w:rPr>
          <w:rFonts w:asciiTheme="majorHAnsi" w:hAnsiTheme="majorHAnsi"/>
          <w:sz w:val="24"/>
          <w:szCs w:val="24"/>
          <w:lang w:val="es-MX"/>
        </w:rPr>
      </w:pPr>
      <w:r w:rsidRPr="00B534E1">
        <w:rPr>
          <w:rFonts w:asciiTheme="majorHAnsi" w:hAnsiTheme="majorHAnsi"/>
          <w:sz w:val="24"/>
          <w:szCs w:val="24"/>
          <w:lang w:val="es-MX"/>
        </w:rPr>
        <w:t xml:space="preserve">En </w:t>
      </w:r>
      <w:r w:rsidR="00E905C9" w:rsidRPr="00B534E1">
        <w:rPr>
          <w:rFonts w:asciiTheme="majorHAnsi" w:hAnsiTheme="majorHAnsi"/>
          <w:sz w:val="24"/>
          <w:szCs w:val="24"/>
          <w:lang w:val="es-MX"/>
        </w:rPr>
        <w:t xml:space="preserve">el </w:t>
      </w:r>
      <w:r w:rsidR="00D70CC1">
        <w:rPr>
          <w:rFonts w:asciiTheme="majorHAnsi" w:hAnsiTheme="majorHAnsi"/>
          <w:sz w:val="24"/>
          <w:szCs w:val="24"/>
          <w:lang w:val="es-MX"/>
        </w:rPr>
        <w:t xml:space="preserve">N°3 </w:t>
      </w:r>
      <w:r w:rsidR="0036715D">
        <w:rPr>
          <w:rFonts w:asciiTheme="majorHAnsi" w:hAnsiTheme="majorHAnsi"/>
          <w:sz w:val="24"/>
          <w:szCs w:val="24"/>
          <w:lang w:val="es-MX"/>
        </w:rPr>
        <w:t xml:space="preserve">del </w:t>
      </w:r>
      <w:r w:rsidR="0036715D" w:rsidRPr="00B534E1">
        <w:rPr>
          <w:rFonts w:asciiTheme="majorHAnsi" w:hAnsiTheme="majorHAnsi"/>
          <w:sz w:val="24"/>
          <w:szCs w:val="24"/>
          <w:lang w:val="es-MX"/>
        </w:rPr>
        <w:t>artículo 34</w:t>
      </w:r>
      <w:r w:rsidR="00E905C9" w:rsidRPr="00B534E1">
        <w:rPr>
          <w:rFonts w:asciiTheme="majorHAnsi" w:hAnsiTheme="majorHAnsi"/>
          <w:sz w:val="24"/>
          <w:szCs w:val="24"/>
          <w:lang w:val="es-MX"/>
        </w:rPr>
        <w:t>, se señala que la evaluación del desempeño operacional del casino de juego que realizará la S</w:t>
      </w:r>
      <w:r w:rsidR="0036715D">
        <w:rPr>
          <w:rFonts w:asciiTheme="majorHAnsi" w:hAnsiTheme="majorHAnsi"/>
          <w:sz w:val="24"/>
          <w:szCs w:val="24"/>
          <w:lang w:val="es-MX"/>
        </w:rPr>
        <w:t xml:space="preserve">uperintendencia </w:t>
      </w:r>
      <w:r w:rsidR="00E905C9" w:rsidRPr="00B534E1">
        <w:rPr>
          <w:rFonts w:asciiTheme="majorHAnsi" w:hAnsiTheme="majorHAnsi"/>
          <w:sz w:val="24"/>
          <w:szCs w:val="24"/>
          <w:lang w:val="es-MX"/>
        </w:rPr>
        <w:t xml:space="preserve"> será un </w:t>
      </w:r>
      <w:proofErr w:type="spellStart"/>
      <w:r w:rsidR="00E905C9" w:rsidRPr="00B534E1">
        <w:rPr>
          <w:rFonts w:asciiTheme="majorHAnsi" w:hAnsiTheme="majorHAnsi"/>
          <w:sz w:val="24"/>
          <w:szCs w:val="24"/>
          <w:lang w:val="es-MX"/>
        </w:rPr>
        <w:t>subfactor</w:t>
      </w:r>
      <w:proofErr w:type="spellEnd"/>
      <w:r w:rsidR="00E905C9" w:rsidRPr="00B534E1">
        <w:rPr>
          <w:rFonts w:asciiTheme="majorHAnsi" w:hAnsiTheme="majorHAnsi"/>
          <w:sz w:val="24"/>
          <w:szCs w:val="24"/>
          <w:lang w:val="es-MX"/>
        </w:rPr>
        <w:t xml:space="preserve"> que </w:t>
      </w:r>
      <w:r w:rsidR="0036715D" w:rsidRPr="00B534E1">
        <w:rPr>
          <w:rFonts w:asciiTheme="majorHAnsi" w:hAnsiTheme="majorHAnsi"/>
          <w:sz w:val="24"/>
          <w:szCs w:val="24"/>
          <w:lang w:val="es-MX"/>
        </w:rPr>
        <w:t xml:space="preserve">también </w:t>
      </w:r>
      <w:r w:rsidR="00E905C9" w:rsidRPr="00B534E1">
        <w:rPr>
          <w:rFonts w:asciiTheme="majorHAnsi" w:hAnsiTheme="majorHAnsi"/>
          <w:sz w:val="24"/>
          <w:szCs w:val="24"/>
          <w:lang w:val="es-MX"/>
        </w:rPr>
        <w:t>deberá alcanzar una calificación de a</w:t>
      </w:r>
      <w:r w:rsidR="0036715D">
        <w:rPr>
          <w:rFonts w:asciiTheme="majorHAnsi" w:hAnsiTheme="majorHAnsi"/>
          <w:sz w:val="24"/>
          <w:szCs w:val="24"/>
          <w:lang w:val="es-MX"/>
        </w:rPr>
        <w:t xml:space="preserve"> </w:t>
      </w:r>
      <w:r w:rsidR="00E905C9" w:rsidRPr="00B534E1">
        <w:rPr>
          <w:rFonts w:asciiTheme="majorHAnsi" w:hAnsiTheme="majorHAnsi"/>
          <w:sz w:val="24"/>
          <w:szCs w:val="24"/>
          <w:lang w:val="es-MX"/>
        </w:rPr>
        <w:t>l</w:t>
      </w:r>
      <w:r w:rsidR="0036715D">
        <w:rPr>
          <w:rFonts w:asciiTheme="majorHAnsi" w:hAnsiTheme="majorHAnsi"/>
          <w:sz w:val="24"/>
          <w:szCs w:val="24"/>
          <w:lang w:val="es-MX"/>
        </w:rPr>
        <w:t>o</w:t>
      </w:r>
      <w:r w:rsidR="00E905C9" w:rsidRPr="00B534E1">
        <w:rPr>
          <w:rFonts w:asciiTheme="majorHAnsi" w:hAnsiTheme="majorHAnsi"/>
          <w:sz w:val="24"/>
          <w:szCs w:val="24"/>
          <w:lang w:val="es-MX"/>
        </w:rPr>
        <w:t xml:space="preserve"> menos </w:t>
      </w:r>
      <w:r w:rsidR="0036715D">
        <w:rPr>
          <w:rFonts w:asciiTheme="majorHAnsi" w:hAnsiTheme="majorHAnsi"/>
          <w:sz w:val="24"/>
          <w:szCs w:val="24"/>
          <w:lang w:val="es-MX"/>
        </w:rPr>
        <w:t xml:space="preserve">un </w:t>
      </w:r>
      <w:r w:rsidR="00E905C9" w:rsidRPr="00B534E1">
        <w:rPr>
          <w:rFonts w:asciiTheme="majorHAnsi" w:hAnsiTheme="majorHAnsi"/>
          <w:sz w:val="24"/>
          <w:szCs w:val="24"/>
          <w:lang w:val="es-MX"/>
        </w:rPr>
        <w:t>60</w:t>
      </w:r>
      <w:r w:rsidR="0036715D">
        <w:rPr>
          <w:rFonts w:asciiTheme="majorHAnsi" w:hAnsiTheme="majorHAnsi"/>
          <w:sz w:val="24"/>
          <w:szCs w:val="24"/>
          <w:lang w:val="es-MX"/>
        </w:rPr>
        <w:t xml:space="preserve">%. Si </w:t>
      </w:r>
      <w:r w:rsidR="00E905C9" w:rsidRPr="00B534E1">
        <w:rPr>
          <w:rFonts w:asciiTheme="majorHAnsi" w:hAnsiTheme="majorHAnsi"/>
          <w:sz w:val="24"/>
          <w:szCs w:val="24"/>
          <w:lang w:val="es-MX"/>
        </w:rPr>
        <w:t>ello no suced</w:t>
      </w:r>
      <w:r w:rsidR="0036715D">
        <w:rPr>
          <w:rFonts w:asciiTheme="majorHAnsi" w:hAnsiTheme="majorHAnsi"/>
          <w:sz w:val="24"/>
          <w:szCs w:val="24"/>
          <w:lang w:val="es-MX"/>
        </w:rPr>
        <w:t>ier</w:t>
      </w:r>
      <w:r w:rsidR="00E905C9" w:rsidRPr="00B534E1">
        <w:rPr>
          <w:rFonts w:asciiTheme="majorHAnsi" w:hAnsiTheme="majorHAnsi"/>
          <w:sz w:val="24"/>
          <w:szCs w:val="24"/>
          <w:lang w:val="es-MX"/>
        </w:rPr>
        <w:t>e</w:t>
      </w:r>
      <w:r w:rsidR="00D07E34" w:rsidRPr="00B534E1">
        <w:rPr>
          <w:rFonts w:asciiTheme="majorHAnsi" w:hAnsiTheme="majorHAnsi"/>
          <w:sz w:val="24"/>
          <w:szCs w:val="24"/>
          <w:lang w:val="es-MX"/>
        </w:rPr>
        <w:t>,</w:t>
      </w:r>
      <w:r w:rsidR="00E905C9" w:rsidRPr="00B534E1">
        <w:rPr>
          <w:rFonts w:asciiTheme="majorHAnsi" w:hAnsiTheme="majorHAnsi"/>
          <w:sz w:val="24"/>
          <w:szCs w:val="24"/>
          <w:lang w:val="es-MX"/>
        </w:rPr>
        <w:t xml:space="preserve"> la</w:t>
      </w:r>
      <w:r w:rsidR="004E2E19" w:rsidRPr="00B534E1">
        <w:rPr>
          <w:rFonts w:asciiTheme="majorHAnsi" w:hAnsiTheme="majorHAnsi"/>
          <w:sz w:val="24"/>
          <w:szCs w:val="24"/>
          <w:lang w:val="es-MX"/>
        </w:rPr>
        <w:t xml:space="preserve"> sociedad técnicamente no califica</w:t>
      </w:r>
      <w:r w:rsidR="0036715D">
        <w:rPr>
          <w:rFonts w:asciiTheme="majorHAnsi" w:hAnsiTheme="majorHAnsi"/>
          <w:sz w:val="24"/>
          <w:szCs w:val="24"/>
          <w:lang w:val="es-MX"/>
        </w:rPr>
        <w:t>ría</w:t>
      </w:r>
      <w:r w:rsidR="004E2E19" w:rsidRPr="00B534E1">
        <w:rPr>
          <w:rFonts w:asciiTheme="majorHAnsi" w:hAnsiTheme="majorHAnsi"/>
          <w:sz w:val="24"/>
          <w:szCs w:val="24"/>
          <w:lang w:val="es-MX"/>
        </w:rPr>
        <w:t xml:space="preserve">. </w:t>
      </w:r>
    </w:p>
    <w:p w:rsidR="0036715D" w:rsidRDefault="0036715D" w:rsidP="002D1A05">
      <w:pPr>
        <w:pStyle w:val="Prrafodelista"/>
        <w:spacing w:after="0" w:line="240" w:lineRule="auto"/>
        <w:ind w:left="1134"/>
        <w:jc w:val="both"/>
        <w:rPr>
          <w:rFonts w:asciiTheme="majorHAnsi" w:hAnsiTheme="majorHAnsi"/>
          <w:sz w:val="24"/>
          <w:szCs w:val="24"/>
          <w:lang w:val="es-MX"/>
        </w:rPr>
      </w:pPr>
    </w:p>
    <w:p w:rsidR="000F1340" w:rsidRPr="00B534E1" w:rsidRDefault="0036715D" w:rsidP="002D1A05">
      <w:pPr>
        <w:pStyle w:val="Prrafodelista"/>
        <w:spacing w:after="0" w:line="240" w:lineRule="auto"/>
        <w:ind w:left="1134"/>
        <w:jc w:val="both"/>
        <w:rPr>
          <w:rFonts w:asciiTheme="majorHAnsi" w:hAnsiTheme="majorHAnsi"/>
          <w:sz w:val="24"/>
          <w:szCs w:val="24"/>
          <w:lang w:val="es-MX"/>
        </w:rPr>
      </w:pPr>
      <w:r>
        <w:rPr>
          <w:rFonts w:asciiTheme="majorHAnsi" w:hAnsiTheme="majorHAnsi"/>
          <w:sz w:val="24"/>
          <w:szCs w:val="24"/>
          <w:lang w:val="es-MX"/>
        </w:rPr>
        <w:lastRenderedPageBreak/>
        <w:t xml:space="preserve">En este caso, otra vez estamos frente </w:t>
      </w:r>
      <w:r w:rsidR="004E2E19" w:rsidRPr="00B534E1">
        <w:rPr>
          <w:rFonts w:asciiTheme="majorHAnsi" w:hAnsiTheme="majorHAnsi"/>
          <w:sz w:val="24"/>
          <w:szCs w:val="24"/>
          <w:lang w:val="es-MX"/>
        </w:rPr>
        <w:t>a</w:t>
      </w:r>
      <w:r w:rsidRPr="0036715D">
        <w:t xml:space="preserve"> </w:t>
      </w:r>
      <w:r w:rsidRPr="0036715D">
        <w:rPr>
          <w:rFonts w:asciiTheme="majorHAnsi" w:hAnsiTheme="majorHAnsi"/>
          <w:sz w:val="24"/>
          <w:szCs w:val="24"/>
          <w:lang w:val="es-MX"/>
        </w:rPr>
        <w:t>una exigencia que no está estipulada en la ley</w:t>
      </w:r>
      <w:r w:rsidR="004E2E19" w:rsidRPr="00B534E1">
        <w:rPr>
          <w:rFonts w:asciiTheme="majorHAnsi" w:hAnsiTheme="majorHAnsi"/>
          <w:sz w:val="24"/>
          <w:szCs w:val="24"/>
          <w:lang w:val="es-MX"/>
        </w:rPr>
        <w:t xml:space="preserve"> </w:t>
      </w:r>
      <w:r>
        <w:rPr>
          <w:rFonts w:asciiTheme="majorHAnsi" w:hAnsiTheme="majorHAnsi"/>
          <w:sz w:val="24"/>
          <w:szCs w:val="24"/>
          <w:lang w:val="es-MX"/>
        </w:rPr>
        <w:t xml:space="preserve">y que la autoridad agrega a través </w:t>
      </w:r>
      <w:r w:rsidR="004E2E19" w:rsidRPr="00B534E1">
        <w:rPr>
          <w:rFonts w:asciiTheme="majorHAnsi" w:hAnsiTheme="majorHAnsi"/>
          <w:sz w:val="24"/>
          <w:szCs w:val="24"/>
          <w:lang w:val="es-MX"/>
        </w:rPr>
        <w:t>de</w:t>
      </w:r>
      <w:r>
        <w:rPr>
          <w:rFonts w:asciiTheme="majorHAnsi" w:hAnsiTheme="majorHAnsi"/>
          <w:sz w:val="24"/>
          <w:szCs w:val="24"/>
          <w:lang w:val="es-MX"/>
        </w:rPr>
        <w:t xml:space="preserve"> un </w:t>
      </w:r>
      <w:r w:rsidR="004E2E19" w:rsidRPr="00B534E1">
        <w:rPr>
          <w:rFonts w:asciiTheme="majorHAnsi" w:hAnsiTheme="majorHAnsi"/>
          <w:sz w:val="24"/>
          <w:szCs w:val="24"/>
          <w:lang w:val="es-MX"/>
        </w:rPr>
        <w:t>reglamento</w:t>
      </w:r>
      <w:r>
        <w:rPr>
          <w:rFonts w:asciiTheme="majorHAnsi" w:hAnsiTheme="majorHAnsi"/>
          <w:sz w:val="24"/>
          <w:szCs w:val="24"/>
          <w:lang w:val="es-MX"/>
        </w:rPr>
        <w:t>, razón por la cual se debe eliminar</w:t>
      </w:r>
      <w:r w:rsidR="004E2E19" w:rsidRPr="00B534E1">
        <w:rPr>
          <w:rFonts w:asciiTheme="majorHAnsi" w:hAnsiTheme="majorHAnsi"/>
          <w:sz w:val="24"/>
          <w:szCs w:val="24"/>
          <w:lang w:val="es-MX"/>
        </w:rPr>
        <w:t>.</w:t>
      </w:r>
    </w:p>
    <w:p w:rsidR="00DD18B9" w:rsidRPr="007B65EF" w:rsidRDefault="00DD18B9" w:rsidP="00B87645">
      <w:pPr>
        <w:pStyle w:val="Prrafodelista"/>
        <w:ind w:left="1134"/>
        <w:rPr>
          <w:rFonts w:asciiTheme="majorHAnsi" w:hAnsiTheme="majorHAnsi"/>
          <w:sz w:val="24"/>
          <w:szCs w:val="24"/>
          <w:lang w:val="es-MX"/>
        </w:rPr>
      </w:pPr>
    </w:p>
    <w:sectPr w:rsidR="00DD18B9" w:rsidRPr="007B65EF" w:rsidSect="007B65EF">
      <w:footerReference w:type="default" r:id="rId9"/>
      <w:pgSz w:w="12240" w:h="15840" w:code="1"/>
      <w:pgMar w:top="1701" w:right="1985" w:bottom="2268"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E59" w:rsidRDefault="00E47E59" w:rsidP="0096085C">
      <w:pPr>
        <w:spacing w:after="0" w:line="240" w:lineRule="auto"/>
      </w:pPr>
      <w:r>
        <w:separator/>
      </w:r>
    </w:p>
  </w:endnote>
  <w:endnote w:type="continuationSeparator" w:id="0">
    <w:p w:rsidR="00E47E59" w:rsidRDefault="00E47E59" w:rsidP="00960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06899"/>
      <w:docPartObj>
        <w:docPartGallery w:val="Page Numbers (Bottom of Page)"/>
        <w:docPartUnique/>
      </w:docPartObj>
    </w:sdtPr>
    <w:sdtEndPr/>
    <w:sdtContent>
      <w:p w:rsidR="007D3641" w:rsidRDefault="00AF5A43">
        <w:pPr>
          <w:pStyle w:val="Piedepgina"/>
          <w:jc w:val="center"/>
        </w:pPr>
        <w:r>
          <w:fldChar w:fldCharType="begin"/>
        </w:r>
        <w:r>
          <w:instrText xml:space="preserve"> PAGE   \* MERGEFORMAT </w:instrText>
        </w:r>
        <w:r>
          <w:fldChar w:fldCharType="separate"/>
        </w:r>
        <w:r w:rsidR="00D64395">
          <w:rPr>
            <w:noProof/>
          </w:rPr>
          <w:t>2</w:t>
        </w:r>
        <w:r>
          <w:rPr>
            <w:noProof/>
          </w:rPr>
          <w:fldChar w:fldCharType="end"/>
        </w:r>
      </w:p>
    </w:sdtContent>
  </w:sdt>
  <w:p w:rsidR="007D3641" w:rsidRDefault="007D36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E59" w:rsidRDefault="00E47E59" w:rsidP="0096085C">
      <w:pPr>
        <w:spacing w:after="0" w:line="240" w:lineRule="auto"/>
      </w:pPr>
      <w:r>
        <w:separator/>
      </w:r>
    </w:p>
  </w:footnote>
  <w:footnote w:type="continuationSeparator" w:id="0">
    <w:p w:rsidR="00E47E59" w:rsidRDefault="00E47E59" w:rsidP="0096085C">
      <w:pPr>
        <w:spacing w:after="0" w:line="240" w:lineRule="auto"/>
      </w:pPr>
      <w:r>
        <w:continuationSeparator/>
      </w:r>
    </w:p>
  </w:footnote>
  <w:footnote w:id="1">
    <w:p w:rsidR="007D3641" w:rsidRDefault="007D3641">
      <w:pPr>
        <w:pStyle w:val="Textonotapie"/>
        <w:rPr>
          <w:lang w:val="es-MX"/>
        </w:rPr>
      </w:pPr>
      <w:r>
        <w:rPr>
          <w:rStyle w:val="Refdenotaalpie"/>
        </w:rPr>
        <w:footnoteRef/>
      </w:r>
      <w:r>
        <w:t xml:space="preserve">  </w:t>
      </w:r>
      <w:r w:rsidRPr="00C0100C">
        <w:rPr>
          <w:rFonts w:asciiTheme="majorHAnsi" w:hAnsiTheme="majorHAnsi" w:cs="Tahoma"/>
          <w:sz w:val="18"/>
          <w:szCs w:val="18"/>
        </w:rPr>
        <w:t xml:space="preserve">Monto </w:t>
      </w:r>
      <w:r w:rsidRPr="00C0100C">
        <w:rPr>
          <w:rFonts w:asciiTheme="majorHAnsi" w:hAnsiTheme="majorHAnsi" w:cs="Tahoma"/>
          <w:sz w:val="18"/>
          <w:szCs w:val="18"/>
          <w:lang w:val="es-MX"/>
        </w:rPr>
        <w:t>establecido en la propuesta de reglamento.</w:t>
      </w:r>
    </w:p>
    <w:p w:rsidR="006804C6" w:rsidRPr="00A23F69" w:rsidRDefault="006804C6">
      <w:pPr>
        <w:pStyle w:val="Textonotapie"/>
        <w:rPr>
          <w:lang w:val="es-MX"/>
        </w:rPr>
      </w:pPr>
    </w:p>
  </w:footnote>
  <w:footnote w:id="2">
    <w:p w:rsidR="007D3641" w:rsidRPr="00B87645" w:rsidRDefault="007D3641">
      <w:pPr>
        <w:pStyle w:val="Textonotapie"/>
        <w:rPr>
          <w:rFonts w:asciiTheme="majorHAnsi" w:hAnsiTheme="majorHAnsi"/>
          <w:sz w:val="18"/>
          <w:szCs w:val="18"/>
        </w:rPr>
      </w:pPr>
      <w:r>
        <w:rPr>
          <w:rStyle w:val="Refdenotaalpie"/>
        </w:rPr>
        <w:footnoteRef/>
      </w:r>
      <w:r>
        <w:t xml:space="preserve">  </w:t>
      </w:r>
      <w:r w:rsidRPr="00B87645">
        <w:rPr>
          <w:rFonts w:asciiTheme="majorHAnsi" w:hAnsiTheme="majorHAnsi"/>
          <w:sz w:val="18"/>
          <w:szCs w:val="18"/>
        </w:rPr>
        <w:t>Artículo 3°</w:t>
      </w:r>
      <w:proofErr w:type="gramStart"/>
      <w:r w:rsidRPr="00B87645">
        <w:rPr>
          <w:rFonts w:asciiTheme="majorHAnsi" w:hAnsiTheme="majorHAnsi"/>
          <w:sz w:val="18"/>
          <w:szCs w:val="18"/>
        </w:rPr>
        <w:t>,letra</w:t>
      </w:r>
      <w:proofErr w:type="gramEnd"/>
      <w:r w:rsidRPr="00B87645">
        <w:rPr>
          <w:rFonts w:asciiTheme="majorHAnsi" w:hAnsiTheme="majorHAnsi"/>
          <w:sz w:val="18"/>
          <w:szCs w:val="18"/>
        </w:rPr>
        <w:t xml:space="preserve"> k) de la ley de casinos.</w:t>
      </w:r>
    </w:p>
    <w:p w:rsidR="006804C6" w:rsidRPr="00E54383" w:rsidRDefault="006804C6">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5A7D"/>
    <w:multiLevelType w:val="hybridMultilevel"/>
    <w:tmpl w:val="648CA83A"/>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4031F4A"/>
    <w:multiLevelType w:val="hybridMultilevel"/>
    <w:tmpl w:val="40963668"/>
    <w:lvl w:ilvl="0" w:tplc="058E9762">
      <w:start w:val="1"/>
      <w:numFmt w:val="lowerLetter"/>
      <w:lvlText w:val="%1."/>
      <w:lvlJc w:val="left"/>
      <w:pPr>
        <w:ind w:left="1800" w:hanging="360"/>
      </w:pPr>
      <w:rPr>
        <w:rFonts w:hint="default"/>
      </w:rPr>
    </w:lvl>
    <w:lvl w:ilvl="1" w:tplc="340A0019">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
    <w:nsid w:val="05860291"/>
    <w:multiLevelType w:val="hybridMultilevel"/>
    <w:tmpl w:val="637AD486"/>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652191A"/>
    <w:multiLevelType w:val="hybridMultilevel"/>
    <w:tmpl w:val="7708FAA4"/>
    <w:lvl w:ilvl="0" w:tplc="2F1ED9F4">
      <w:start w:val="1"/>
      <w:numFmt w:val="upperLetter"/>
      <w:lvlText w:val="%1."/>
      <w:lvlJc w:val="left"/>
      <w:pPr>
        <w:ind w:left="720" w:hanging="360"/>
      </w:pPr>
      <w:rPr>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1C91220A"/>
    <w:multiLevelType w:val="hybridMultilevel"/>
    <w:tmpl w:val="09BCE6CA"/>
    <w:lvl w:ilvl="0" w:tplc="1A626AA2">
      <w:start w:val="3"/>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21CA7B3F"/>
    <w:multiLevelType w:val="hybridMultilevel"/>
    <w:tmpl w:val="F514A5FC"/>
    <w:lvl w:ilvl="0" w:tplc="95E634DC">
      <w:start w:val="2"/>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229151A2"/>
    <w:multiLevelType w:val="hybridMultilevel"/>
    <w:tmpl w:val="CFAA40FA"/>
    <w:lvl w:ilvl="0" w:tplc="058E9762">
      <w:start w:val="1"/>
      <w:numFmt w:val="lowerLetter"/>
      <w:lvlText w:val="%1."/>
      <w:lvlJc w:val="left"/>
      <w:pPr>
        <w:ind w:left="144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7">
    <w:nsid w:val="286554DF"/>
    <w:multiLevelType w:val="multilevel"/>
    <w:tmpl w:val="340A001D"/>
    <w:lvl w:ilvl="0">
      <w:start w:val="1"/>
      <w:numFmt w:val="decimal"/>
      <w:lvlText w:val="%1)"/>
      <w:lvlJc w:val="left"/>
      <w:pPr>
        <w:ind w:left="0" w:hanging="360"/>
      </w:pPr>
    </w:lvl>
    <w:lvl w:ilvl="1">
      <w:start w:val="1"/>
      <w:numFmt w:val="lowerLetter"/>
      <w:lvlText w:val="%2)"/>
      <w:lvlJc w:val="left"/>
      <w:pPr>
        <w:ind w:left="360" w:hanging="360"/>
      </w:pPr>
    </w:lvl>
    <w:lvl w:ilvl="2">
      <w:start w:val="1"/>
      <w:numFmt w:val="lowerRoman"/>
      <w:lvlText w:val="%3)"/>
      <w:lvlJc w:val="left"/>
      <w:pPr>
        <w:ind w:left="720" w:hanging="360"/>
      </w:pPr>
    </w:lvl>
    <w:lvl w:ilvl="3">
      <w:start w:val="1"/>
      <w:numFmt w:val="decimal"/>
      <w:lvlText w:val="(%4)"/>
      <w:lvlJc w:val="left"/>
      <w:pPr>
        <w:ind w:left="1080" w:hanging="360"/>
      </w:pPr>
    </w:lvl>
    <w:lvl w:ilvl="4">
      <w:start w:val="1"/>
      <w:numFmt w:val="lowerLetter"/>
      <w:lvlText w:val="(%5)"/>
      <w:lvlJc w:val="left"/>
      <w:pPr>
        <w:ind w:left="1440" w:hanging="360"/>
      </w:pPr>
    </w:lvl>
    <w:lvl w:ilvl="5">
      <w:start w:val="1"/>
      <w:numFmt w:val="lowerRoman"/>
      <w:lvlText w:val="(%6)"/>
      <w:lvlJc w:val="left"/>
      <w:pPr>
        <w:ind w:left="1800" w:hanging="36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8">
    <w:nsid w:val="2E8F5D7A"/>
    <w:multiLevelType w:val="hybridMultilevel"/>
    <w:tmpl w:val="A4A83F38"/>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39535D60"/>
    <w:multiLevelType w:val="hybridMultilevel"/>
    <w:tmpl w:val="0E4CE514"/>
    <w:lvl w:ilvl="0" w:tplc="340A000F">
      <w:start w:val="1"/>
      <w:numFmt w:val="decimal"/>
      <w:lvlText w:val="%1."/>
      <w:lvlJc w:val="left"/>
      <w:pPr>
        <w:ind w:left="360" w:hanging="360"/>
      </w:pPr>
    </w:lvl>
    <w:lvl w:ilvl="1" w:tplc="058E9762">
      <w:start w:val="1"/>
      <w:numFmt w:val="lowerLetter"/>
      <w:lvlText w:val="%2."/>
      <w:lvlJc w:val="left"/>
      <w:pPr>
        <w:ind w:left="1080" w:hanging="360"/>
      </w:pPr>
      <w:rPr>
        <w:rFonts w:hint="default"/>
      </w:rPr>
    </w:lvl>
    <w:lvl w:ilvl="2" w:tplc="340A001B">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0">
    <w:nsid w:val="3AED4E5E"/>
    <w:multiLevelType w:val="hybridMultilevel"/>
    <w:tmpl w:val="6B5E577A"/>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52566F0F"/>
    <w:multiLevelType w:val="hybridMultilevel"/>
    <w:tmpl w:val="CF9623DA"/>
    <w:lvl w:ilvl="0" w:tplc="68367046">
      <w:start w:val="4"/>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7C5E6E68"/>
    <w:multiLevelType w:val="hybridMultilevel"/>
    <w:tmpl w:val="AF14066A"/>
    <w:lvl w:ilvl="0" w:tplc="058E9762">
      <w:start w:val="1"/>
      <w:numFmt w:val="lowerLetter"/>
      <w:lvlText w:val="%1."/>
      <w:lvlJc w:val="left"/>
      <w:pPr>
        <w:ind w:left="108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9"/>
  </w:num>
  <w:num w:numId="2">
    <w:abstractNumId w:val="7"/>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2"/>
  </w:num>
  <w:num w:numId="7">
    <w:abstractNumId w:val="5"/>
  </w:num>
  <w:num w:numId="8">
    <w:abstractNumId w:val="12"/>
  </w:num>
  <w:num w:numId="9">
    <w:abstractNumId w:val="10"/>
  </w:num>
  <w:num w:numId="10">
    <w:abstractNumId w:val="4"/>
  </w:num>
  <w:num w:numId="11">
    <w:abstractNumId w:val="6"/>
  </w:num>
  <w:num w:numId="12">
    <w:abstractNumId w:val="8"/>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doNotDisplayPageBoundarie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2AE"/>
    <w:rsid w:val="00002C6C"/>
    <w:rsid w:val="00004BCC"/>
    <w:rsid w:val="0007578A"/>
    <w:rsid w:val="0009059A"/>
    <w:rsid w:val="000F1340"/>
    <w:rsid w:val="0012157C"/>
    <w:rsid w:val="00146449"/>
    <w:rsid w:val="00160202"/>
    <w:rsid w:val="00190443"/>
    <w:rsid w:val="001904A0"/>
    <w:rsid w:val="001B1B88"/>
    <w:rsid w:val="001E3801"/>
    <w:rsid w:val="00234784"/>
    <w:rsid w:val="002475A5"/>
    <w:rsid w:val="00264AC2"/>
    <w:rsid w:val="00264F8A"/>
    <w:rsid w:val="00265F0D"/>
    <w:rsid w:val="002667B8"/>
    <w:rsid w:val="0028169C"/>
    <w:rsid w:val="002D1A05"/>
    <w:rsid w:val="002F5D6D"/>
    <w:rsid w:val="00317AD3"/>
    <w:rsid w:val="00347404"/>
    <w:rsid w:val="0036715D"/>
    <w:rsid w:val="00372FDB"/>
    <w:rsid w:val="003775D0"/>
    <w:rsid w:val="003A1A22"/>
    <w:rsid w:val="003A6065"/>
    <w:rsid w:val="003B3AA5"/>
    <w:rsid w:val="003C533E"/>
    <w:rsid w:val="003F3018"/>
    <w:rsid w:val="00410A77"/>
    <w:rsid w:val="004522AA"/>
    <w:rsid w:val="00490F48"/>
    <w:rsid w:val="004A7153"/>
    <w:rsid w:val="004C759D"/>
    <w:rsid w:val="004D0948"/>
    <w:rsid w:val="004E12AA"/>
    <w:rsid w:val="004E2E19"/>
    <w:rsid w:val="004E5F19"/>
    <w:rsid w:val="005007B8"/>
    <w:rsid w:val="005533AB"/>
    <w:rsid w:val="00580AC3"/>
    <w:rsid w:val="005C0810"/>
    <w:rsid w:val="005C23E9"/>
    <w:rsid w:val="0063202F"/>
    <w:rsid w:val="0063600B"/>
    <w:rsid w:val="00661258"/>
    <w:rsid w:val="00667332"/>
    <w:rsid w:val="006804C6"/>
    <w:rsid w:val="006A0D4F"/>
    <w:rsid w:val="00702D77"/>
    <w:rsid w:val="00726821"/>
    <w:rsid w:val="007846BB"/>
    <w:rsid w:val="007B65EF"/>
    <w:rsid w:val="007D3641"/>
    <w:rsid w:val="00814962"/>
    <w:rsid w:val="008660B3"/>
    <w:rsid w:val="008A56F0"/>
    <w:rsid w:val="008B492F"/>
    <w:rsid w:val="0090502E"/>
    <w:rsid w:val="0096085C"/>
    <w:rsid w:val="00977FC2"/>
    <w:rsid w:val="009C7BDC"/>
    <w:rsid w:val="009D03E3"/>
    <w:rsid w:val="00A23F69"/>
    <w:rsid w:val="00A25899"/>
    <w:rsid w:val="00A2793A"/>
    <w:rsid w:val="00A30FCA"/>
    <w:rsid w:val="00A47CF9"/>
    <w:rsid w:val="00A63042"/>
    <w:rsid w:val="00A67FFA"/>
    <w:rsid w:val="00A701E2"/>
    <w:rsid w:val="00A77AB5"/>
    <w:rsid w:val="00A80A7B"/>
    <w:rsid w:val="00A872AE"/>
    <w:rsid w:val="00AB7E33"/>
    <w:rsid w:val="00AC1AB8"/>
    <w:rsid w:val="00AC207A"/>
    <w:rsid w:val="00AC76CD"/>
    <w:rsid w:val="00AF5A43"/>
    <w:rsid w:val="00B06756"/>
    <w:rsid w:val="00B21F37"/>
    <w:rsid w:val="00B534E1"/>
    <w:rsid w:val="00B87645"/>
    <w:rsid w:val="00B94C53"/>
    <w:rsid w:val="00B95414"/>
    <w:rsid w:val="00BC6EF0"/>
    <w:rsid w:val="00C0100C"/>
    <w:rsid w:val="00C352D2"/>
    <w:rsid w:val="00CB4CC8"/>
    <w:rsid w:val="00CD2A9B"/>
    <w:rsid w:val="00D07E34"/>
    <w:rsid w:val="00D139B2"/>
    <w:rsid w:val="00D2282E"/>
    <w:rsid w:val="00D25FB4"/>
    <w:rsid w:val="00D64395"/>
    <w:rsid w:val="00D70CC1"/>
    <w:rsid w:val="00DB3DBC"/>
    <w:rsid w:val="00DB5B59"/>
    <w:rsid w:val="00DD18B9"/>
    <w:rsid w:val="00DD5CE2"/>
    <w:rsid w:val="00E01EC4"/>
    <w:rsid w:val="00E12C45"/>
    <w:rsid w:val="00E47E59"/>
    <w:rsid w:val="00E53CF7"/>
    <w:rsid w:val="00E54383"/>
    <w:rsid w:val="00E74BB7"/>
    <w:rsid w:val="00E905C9"/>
    <w:rsid w:val="00E91D37"/>
    <w:rsid w:val="00EA596A"/>
    <w:rsid w:val="00F42CE7"/>
    <w:rsid w:val="00FB1232"/>
    <w:rsid w:val="00FD6E4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D03E3"/>
    <w:pPr>
      <w:ind w:left="720"/>
      <w:contextualSpacing/>
    </w:pPr>
  </w:style>
  <w:style w:type="character" w:styleId="Refdecomentario">
    <w:name w:val="annotation reference"/>
    <w:uiPriority w:val="99"/>
    <w:semiHidden/>
    <w:unhideWhenUsed/>
    <w:rsid w:val="009D03E3"/>
    <w:rPr>
      <w:sz w:val="16"/>
      <w:szCs w:val="16"/>
    </w:rPr>
  </w:style>
  <w:style w:type="paragraph" w:styleId="Textocomentario">
    <w:name w:val="annotation text"/>
    <w:basedOn w:val="Normal"/>
    <w:link w:val="TextocomentarioCar"/>
    <w:uiPriority w:val="99"/>
    <w:unhideWhenUsed/>
    <w:rsid w:val="009D03E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9D03E3"/>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9D03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03E3"/>
    <w:rPr>
      <w:rFonts w:ascii="Tahoma" w:hAnsi="Tahoma" w:cs="Tahoma"/>
      <w:sz w:val="16"/>
      <w:szCs w:val="16"/>
    </w:rPr>
  </w:style>
  <w:style w:type="paragraph" w:styleId="Encabezado">
    <w:name w:val="header"/>
    <w:basedOn w:val="Normal"/>
    <w:link w:val="EncabezadoCar"/>
    <w:uiPriority w:val="99"/>
    <w:semiHidden/>
    <w:unhideWhenUsed/>
    <w:rsid w:val="009608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96085C"/>
  </w:style>
  <w:style w:type="paragraph" w:styleId="Piedepgina">
    <w:name w:val="footer"/>
    <w:basedOn w:val="Normal"/>
    <w:link w:val="PiedepginaCar"/>
    <w:uiPriority w:val="99"/>
    <w:unhideWhenUsed/>
    <w:rsid w:val="009608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085C"/>
  </w:style>
  <w:style w:type="paragraph" w:styleId="Textonotapie">
    <w:name w:val="footnote text"/>
    <w:basedOn w:val="Normal"/>
    <w:link w:val="TextonotapieCar"/>
    <w:uiPriority w:val="99"/>
    <w:semiHidden/>
    <w:unhideWhenUsed/>
    <w:rsid w:val="00A23F6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23F69"/>
    <w:rPr>
      <w:sz w:val="20"/>
      <w:szCs w:val="20"/>
    </w:rPr>
  </w:style>
  <w:style w:type="character" w:styleId="Refdenotaalpie">
    <w:name w:val="footnote reference"/>
    <w:basedOn w:val="Fuentedeprrafopredeter"/>
    <w:uiPriority w:val="99"/>
    <w:semiHidden/>
    <w:unhideWhenUsed/>
    <w:rsid w:val="00A23F69"/>
    <w:rPr>
      <w:vertAlign w:val="superscript"/>
    </w:rPr>
  </w:style>
  <w:style w:type="paragraph" w:styleId="Asuntodelcomentario">
    <w:name w:val="annotation subject"/>
    <w:basedOn w:val="Textocomentario"/>
    <w:next w:val="Textocomentario"/>
    <w:link w:val="AsuntodelcomentarioCar"/>
    <w:uiPriority w:val="99"/>
    <w:semiHidden/>
    <w:unhideWhenUsed/>
    <w:rsid w:val="00B94C53"/>
    <w:pPr>
      <w:spacing w:after="200"/>
    </w:pPr>
    <w:rPr>
      <w:rFonts w:asciiTheme="minorHAnsi" w:eastAsiaTheme="minorHAnsi" w:hAnsiTheme="minorHAnsi" w:cstheme="minorBidi"/>
      <w:b/>
      <w:bCs/>
      <w:lang w:val="es-CL" w:eastAsia="en-US"/>
    </w:rPr>
  </w:style>
  <w:style w:type="character" w:customStyle="1" w:styleId="AsuntodelcomentarioCar">
    <w:name w:val="Asunto del comentario Car"/>
    <w:basedOn w:val="TextocomentarioCar"/>
    <w:link w:val="Asuntodelcomentario"/>
    <w:uiPriority w:val="99"/>
    <w:semiHidden/>
    <w:rsid w:val="00B94C53"/>
    <w:rPr>
      <w:rFonts w:ascii="Times New Roman" w:eastAsia="Times New Roman" w:hAnsi="Times New Roman" w:cs="Times New Roman"/>
      <w:b/>
      <w:bCs/>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D03E3"/>
    <w:pPr>
      <w:ind w:left="720"/>
      <w:contextualSpacing/>
    </w:pPr>
  </w:style>
  <w:style w:type="character" w:styleId="Refdecomentario">
    <w:name w:val="annotation reference"/>
    <w:uiPriority w:val="99"/>
    <w:semiHidden/>
    <w:unhideWhenUsed/>
    <w:rsid w:val="009D03E3"/>
    <w:rPr>
      <w:sz w:val="16"/>
      <w:szCs w:val="16"/>
    </w:rPr>
  </w:style>
  <w:style w:type="paragraph" w:styleId="Textocomentario">
    <w:name w:val="annotation text"/>
    <w:basedOn w:val="Normal"/>
    <w:link w:val="TextocomentarioCar"/>
    <w:uiPriority w:val="99"/>
    <w:unhideWhenUsed/>
    <w:rsid w:val="009D03E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9D03E3"/>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9D03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03E3"/>
    <w:rPr>
      <w:rFonts w:ascii="Tahoma" w:hAnsi="Tahoma" w:cs="Tahoma"/>
      <w:sz w:val="16"/>
      <w:szCs w:val="16"/>
    </w:rPr>
  </w:style>
  <w:style w:type="paragraph" w:styleId="Encabezado">
    <w:name w:val="header"/>
    <w:basedOn w:val="Normal"/>
    <w:link w:val="EncabezadoCar"/>
    <w:uiPriority w:val="99"/>
    <w:semiHidden/>
    <w:unhideWhenUsed/>
    <w:rsid w:val="009608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96085C"/>
  </w:style>
  <w:style w:type="paragraph" w:styleId="Piedepgina">
    <w:name w:val="footer"/>
    <w:basedOn w:val="Normal"/>
    <w:link w:val="PiedepginaCar"/>
    <w:uiPriority w:val="99"/>
    <w:unhideWhenUsed/>
    <w:rsid w:val="009608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085C"/>
  </w:style>
  <w:style w:type="paragraph" w:styleId="Textonotapie">
    <w:name w:val="footnote text"/>
    <w:basedOn w:val="Normal"/>
    <w:link w:val="TextonotapieCar"/>
    <w:uiPriority w:val="99"/>
    <w:semiHidden/>
    <w:unhideWhenUsed/>
    <w:rsid w:val="00A23F6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23F69"/>
    <w:rPr>
      <w:sz w:val="20"/>
      <w:szCs w:val="20"/>
    </w:rPr>
  </w:style>
  <w:style w:type="character" w:styleId="Refdenotaalpie">
    <w:name w:val="footnote reference"/>
    <w:basedOn w:val="Fuentedeprrafopredeter"/>
    <w:uiPriority w:val="99"/>
    <w:semiHidden/>
    <w:unhideWhenUsed/>
    <w:rsid w:val="00A23F69"/>
    <w:rPr>
      <w:vertAlign w:val="superscript"/>
    </w:rPr>
  </w:style>
  <w:style w:type="paragraph" w:styleId="Asuntodelcomentario">
    <w:name w:val="annotation subject"/>
    <w:basedOn w:val="Textocomentario"/>
    <w:next w:val="Textocomentario"/>
    <w:link w:val="AsuntodelcomentarioCar"/>
    <w:uiPriority w:val="99"/>
    <w:semiHidden/>
    <w:unhideWhenUsed/>
    <w:rsid w:val="00B94C53"/>
    <w:pPr>
      <w:spacing w:after="200"/>
    </w:pPr>
    <w:rPr>
      <w:rFonts w:asciiTheme="minorHAnsi" w:eastAsiaTheme="minorHAnsi" w:hAnsiTheme="minorHAnsi" w:cstheme="minorBidi"/>
      <w:b/>
      <w:bCs/>
      <w:lang w:val="es-CL" w:eastAsia="en-US"/>
    </w:rPr>
  </w:style>
  <w:style w:type="character" w:customStyle="1" w:styleId="AsuntodelcomentarioCar">
    <w:name w:val="Asunto del comentario Car"/>
    <w:basedOn w:val="TextocomentarioCar"/>
    <w:link w:val="Asuntodelcomentario"/>
    <w:uiPriority w:val="99"/>
    <w:semiHidden/>
    <w:rsid w:val="00B94C53"/>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017021">
      <w:bodyDiv w:val="1"/>
      <w:marLeft w:val="0"/>
      <w:marRight w:val="0"/>
      <w:marTop w:val="0"/>
      <w:marBottom w:val="0"/>
      <w:divBdr>
        <w:top w:val="none" w:sz="0" w:space="0" w:color="auto"/>
        <w:left w:val="none" w:sz="0" w:space="0" w:color="auto"/>
        <w:bottom w:val="none" w:sz="0" w:space="0" w:color="auto"/>
        <w:right w:val="none" w:sz="0" w:space="0" w:color="auto"/>
      </w:divBdr>
    </w:div>
    <w:div w:id="539365959">
      <w:bodyDiv w:val="1"/>
      <w:marLeft w:val="0"/>
      <w:marRight w:val="0"/>
      <w:marTop w:val="0"/>
      <w:marBottom w:val="0"/>
      <w:divBdr>
        <w:top w:val="none" w:sz="0" w:space="0" w:color="auto"/>
        <w:left w:val="none" w:sz="0" w:space="0" w:color="auto"/>
        <w:bottom w:val="none" w:sz="0" w:space="0" w:color="auto"/>
        <w:right w:val="none" w:sz="0" w:space="0" w:color="auto"/>
      </w:divBdr>
    </w:div>
    <w:div w:id="1243031358">
      <w:bodyDiv w:val="1"/>
      <w:marLeft w:val="0"/>
      <w:marRight w:val="0"/>
      <w:marTop w:val="0"/>
      <w:marBottom w:val="0"/>
      <w:divBdr>
        <w:top w:val="none" w:sz="0" w:space="0" w:color="auto"/>
        <w:left w:val="none" w:sz="0" w:space="0" w:color="auto"/>
        <w:bottom w:val="none" w:sz="0" w:space="0" w:color="auto"/>
        <w:right w:val="none" w:sz="0" w:space="0" w:color="auto"/>
      </w:divBdr>
    </w:div>
    <w:div w:id="1637486671">
      <w:bodyDiv w:val="1"/>
      <w:marLeft w:val="0"/>
      <w:marRight w:val="0"/>
      <w:marTop w:val="0"/>
      <w:marBottom w:val="0"/>
      <w:divBdr>
        <w:top w:val="none" w:sz="0" w:space="0" w:color="auto"/>
        <w:left w:val="none" w:sz="0" w:space="0" w:color="auto"/>
        <w:bottom w:val="none" w:sz="0" w:space="0" w:color="auto"/>
        <w:right w:val="none" w:sz="0" w:space="0" w:color="auto"/>
      </w:divBdr>
    </w:div>
    <w:div w:id="1893996978">
      <w:bodyDiv w:val="1"/>
      <w:marLeft w:val="0"/>
      <w:marRight w:val="0"/>
      <w:marTop w:val="0"/>
      <w:marBottom w:val="0"/>
      <w:divBdr>
        <w:top w:val="none" w:sz="0" w:space="0" w:color="auto"/>
        <w:left w:val="none" w:sz="0" w:space="0" w:color="auto"/>
        <w:bottom w:val="none" w:sz="0" w:space="0" w:color="auto"/>
        <w:right w:val="none" w:sz="0" w:space="0" w:color="auto"/>
      </w:divBdr>
    </w:div>
    <w:div w:id="204644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04ABC5C-342E-4741-8EA5-EC3FA5A9C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2665</Words>
  <Characters>14661</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Gonzalo Torre</dc:creator>
  <cp:lastModifiedBy>gtorre</cp:lastModifiedBy>
  <cp:revision>3</cp:revision>
  <cp:lastPrinted>2015-09-22T13:35:00Z</cp:lastPrinted>
  <dcterms:created xsi:type="dcterms:W3CDTF">2015-09-23T15:52:00Z</dcterms:created>
  <dcterms:modified xsi:type="dcterms:W3CDTF">2015-09-23T16:40:00Z</dcterms:modified>
</cp:coreProperties>
</file>