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1D07C" w14:textId="57AB5E02" w:rsidR="00857F0A" w:rsidRPr="00EC78BC" w:rsidRDefault="002176BF" w:rsidP="006A7A0E">
      <w:pPr>
        <w:rPr>
          <w:b/>
          <w:snapToGrid w:val="0"/>
        </w:rPr>
      </w:pPr>
      <w:r w:rsidRPr="00EC78BC">
        <w:rPr>
          <w:b/>
        </w:rPr>
        <w:t>APRUEBA BASES TÉCNICAS</w:t>
      </w:r>
      <w:r w:rsidR="00B1576D" w:rsidRPr="00EC78BC">
        <w:rPr>
          <w:b/>
        </w:rPr>
        <w:t xml:space="preserve"> </w:t>
      </w:r>
      <w:r w:rsidR="00505D21" w:rsidRPr="00EC78BC">
        <w:rPr>
          <w:b/>
        </w:rPr>
        <w:t>PARA EL OTORGAMIENTO DE</w:t>
      </w:r>
      <w:r w:rsidR="007032EC">
        <w:rPr>
          <w:b/>
        </w:rPr>
        <w:t>L</w:t>
      </w:r>
      <w:r w:rsidR="000F4AA6" w:rsidRPr="00EC78BC">
        <w:rPr>
          <w:b/>
        </w:rPr>
        <w:t xml:space="preserve"> </w:t>
      </w:r>
      <w:r w:rsidRPr="00EC78BC">
        <w:rPr>
          <w:b/>
        </w:rPr>
        <w:t xml:space="preserve">PERMISO DE OPERACIÓN </w:t>
      </w:r>
      <w:r w:rsidR="00DE7AD0" w:rsidRPr="00EC78BC">
        <w:rPr>
          <w:b/>
        </w:rPr>
        <w:t>DE</w:t>
      </w:r>
      <w:r w:rsidRPr="00EC78BC">
        <w:rPr>
          <w:b/>
        </w:rPr>
        <w:t xml:space="preserve"> UN CASINO DE JUEGO EN LA COMUNA </w:t>
      </w:r>
      <w:r w:rsidRPr="007032EC">
        <w:rPr>
          <w:b/>
        </w:rPr>
        <w:t xml:space="preserve">DE </w:t>
      </w:r>
      <w:r w:rsidRPr="007032EC">
        <w:rPr>
          <w:b/>
          <w:highlight w:val="yellow"/>
        </w:rPr>
        <w:t>XXXXXX</w:t>
      </w:r>
      <w:r w:rsidRPr="007032EC">
        <w:rPr>
          <w:b/>
        </w:rPr>
        <w:t>.</w:t>
      </w:r>
      <w:r w:rsidR="00441D90" w:rsidRPr="00EC78BC">
        <w:rPr>
          <w:b/>
        </w:rPr>
        <w:t xml:space="preserve"> </w:t>
      </w:r>
    </w:p>
    <w:p w14:paraId="70C7CD22" w14:textId="77777777" w:rsidR="00857F0A" w:rsidRPr="00B1576D" w:rsidRDefault="00857F0A" w:rsidP="006A7A0E"/>
    <w:p w14:paraId="3C157202" w14:textId="77777777" w:rsidR="00857F0A" w:rsidRPr="00EC78BC" w:rsidRDefault="009B02F2" w:rsidP="006A7A0E">
      <w:pPr>
        <w:rPr>
          <w:b/>
        </w:rPr>
      </w:pPr>
      <w:r w:rsidRPr="00EC78BC">
        <w:rPr>
          <w:b/>
        </w:rPr>
        <w:t xml:space="preserve">RESOLUCIÓN </w:t>
      </w:r>
      <w:r w:rsidR="00737B8E" w:rsidRPr="00EC78BC">
        <w:rPr>
          <w:b/>
        </w:rPr>
        <w:t>EXENTA N°</w:t>
      </w:r>
    </w:p>
    <w:p w14:paraId="1DC39CDB" w14:textId="77777777" w:rsidR="00737B8E" w:rsidRPr="00B1576D" w:rsidRDefault="00737B8E" w:rsidP="006A7A0E"/>
    <w:p w14:paraId="74654723" w14:textId="77777777" w:rsidR="00857F0A" w:rsidRPr="00EC78BC" w:rsidRDefault="00857F0A" w:rsidP="00EC78BC">
      <w:pPr>
        <w:jc w:val="right"/>
        <w:rPr>
          <w:b/>
        </w:rPr>
      </w:pPr>
      <w:r w:rsidRPr="00EC78BC">
        <w:rPr>
          <w:b/>
        </w:rPr>
        <w:t>Santiago</w:t>
      </w:r>
      <w:r w:rsidRPr="007032EC">
        <w:rPr>
          <w:b/>
        </w:rPr>
        <w:t>,</w:t>
      </w:r>
      <w:r w:rsidR="00B1576D" w:rsidRPr="007032EC">
        <w:rPr>
          <w:b/>
        </w:rPr>
        <w:t xml:space="preserve"> </w:t>
      </w:r>
      <w:r w:rsidR="00B1576D" w:rsidRPr="007032EC">
        <w:rPr>
          <w:b/>
          <w:highlight w:val="yellow"/>
        </w:rPr>
        <w:t>dd de mmm de aaaa</w:t>
      </w:r>
      <w:r w:rsidRPr="00EC78BC">
        <w:rPr>
          <w:b/>
        </w:rPr>
        <w:t xml:space="preserve"> </w:t>
      </w:r>
    </w:p>
    <w:p w14:paraId="6C66F1CA" w14:textId="77777777" w:rsidR="000A7127" w:rsidRPr="00B1576D" w:rsidRDefault="000A7127" w:rsidP="006A7A0E"/>
    <w:p w14:paraId="4456B7C3" w14:textId="77777777" w:rsidR="00D21571" w:rsidRPr="00EC78BC" w:rsidRDefault="00857F0A" w:rsidP="006A7A0E">
      <w:pPr>
        <w:rPr>
          <w:b/>
        </w:rPr>
      </w:pPr>
      <w:r w:rsidRPr="00EC78BC">
        <w:rPr>
          <w:b/>
        </w:rPr>
        <w:t>VISTOS</w:t>
      </w:r>
    </w:p>
    <w:p w14:paraId="4DD48489" w14:textId="77777777" w:rsidR="00D21571" w:rsidRPr="00256456" w:rsidRDefault="00D21571" w:rsidP="006A7A0E"/>
    <w:p w14:paraId="6CED6DA8" w14:textId="701982C8" w:rsidR="00CA15DD" w:rsidRPr="00EC78BC" w:rsidRDefault="00D21571" w:rsidP="006A7A0E">
      <w:r w:rsidRPr="00256456">
        <w:t>L</w:t>
      </w:r>
      <w:r w:rsidRPr="00256456">
        <w:rPr>
          <w:lang w:val="es-ES"/>
        </w:rPr>
        <w:t>o dispuesto en la Ley Nº 19.</w:t>
      </w:r>
      <w:r w:rsidR="00336529" w:rsidRPr="00256456">
        <w:rPr>
          <w:lang w:val="es-ES"/>
        </w:rPr>
        <w:t xml:space="preserve">995 </w:t>
      </w:r>
      <w:r w:rsidR="00336529" w:rsidRPr="00256456">
        <w:t>sobre Bases Generales para la Autorización, Funcionamiento y Fiscalización de Casinos de Juego, en especial lo que prescriben los artículos contenidos en el Título IV de dicho cuerpo legal denominado “Del Permiso de Operación”; en el Decreto N</w:t>
      </w:r>
      <w:r w:rsidR="00336529" w:rsidRPr="00256456">
        <w:rPr>
          <w:vertAlign w:val="superscript"/>
        </w:rPr>
        <w:t>o</w:t>
      </w:r>
      <w:r w:rsidR="00336529" w:rsidRPr="00256456">
        <w:t xml:space="preserve"> </w:t>
      </w:r>
      <w:r w:rsidR="005A5C52" w:rsidRPr="00256456">
        <w:t>1722</w:t>
      </w:r>
      <w:r w:rsidR="00336529" w:rsidRPr="00256456">
        <w:t xml:space="preserve"> de 2015, del Ministerio de Hacienda, que </w:t>
      </w:r>
      <w:r w:rsidR="005A5C52" w:rsidRPr="00256456">
        <w:t>aprueba</w:t>
      </w:r>
      <w:r w:rsidR="00336529" w:rsidRPr="00256456">
        <w:t xml:space="preserve"> Reglamento para la Tramitación y Otorgamiento de Permisos de Operación de Casinos de Juego</w:t>
      </w:r>
      <w:r w:rsidR="005A5C52" w:rsidRPr="00256456">
        <w:t xml:space="preserve"> y Deroga Decreto </w:t>
      </w:r>
      <w:r w:rsidR="00DB651D" w:rsidRPr="00256456">
        <w:t xml:space="preserve">N° </w:t>
      </w:r>
      <w:r w:rsidR="005A5C52" w:rsidRPr="00256456">
        <w:t>211 d</w:t>
      </w:r>
      <w:r w:rsidR="00505D21" w:rsidRPr="00256456">
        <w:t>el Ministerio de Hacienda de 200</w:t>
      </w:r>
      <w:r w:rsidR="005A5C52" w:rsidRPr="00256456">
        <w:t>5</w:t>
      </w:r>
      <w:r w:rsidRPr="00256456">
        <w:rPr>
          <w:lang w:val="es-ES"/>
        </w:rPr>
        <w:t xml:space="preserve">;  en la Resolución N° 1.600, de 2008, de la Contraloría General de la República, que Fija Normas Sobre Exención del Trámite de Toma de Razón; </w:t>
      </w:r>
      <w:r w:rsidRPr="00256456">
        <w:t>y</w:t>
      </w:r>
      <w:r w:rsidR="00505D21" w:rsidRPr="00256456">
        <w:t>,</w:t>
      </w:r>
      <w:r w:rsidR="00A8054A" w:rsidRPr="00EC78BC">
        <w:t xml:space="preserve"> en</w:t>
      </w:r>
      <w:r w:rsidRPr="00EC78BC">
        <w:t xml:space="preserve"> </w:t>
      </w:r>
      <w:r w:rsidR="00505D21" w:rsidRPr="00EC78BC">
        <w:t>el Decreto</w:t>
      </w:r>
      <w:r w:rsidR="00654E17" w:rsidRPr="00EC78BC">
        <w:t xml:space="preserve"> Nº </w:t>
      </w:r>
      <w:r w:rsidR="00AA303F" w:rsidRPr="00EC78BC">
        <w:t>142</w:t>
      </w:r>
      <w:r w:rsidR="00654E17" w:rsidRPr="00EC78BC">
        <w:t xml:space="preserve">, de </w:t>
      </w:r>
      <w:r w:rsidR="00AA303F" w:rsidRPr="00EC78BC">
        <w:t xml:space="preserve"> 2016</w:t>
      </w:r>
      <w:r w:rsidR="00654E17" w:rsidRPr="00EC78BC">
        <w:t>, del Ministerio de Hacienda</w:t>
      </w:r>
      <w:r w:rsidR="00505D21" w:rsidRPr="00EC78BC">
        <w:t>.</w:t>
      </w:r>
    </w:p>
    <w:p w14:paraId="6B94C9D4" w14:textId="77777777" w:rsidR="00476CD6" w:rsidRPr="00EC78BC" w:rsidRDefault="00476CD6" w:rsidP="006A7A0E"/>
    <w:p w14:paraId="460FB756" w14:textId="77777777" w:rsidR="00857F0A" w:rsidRPr="00EC78BC" w:rsidRDefault="00857F0A" w:rsidP="006A7A0E">
      <w:pPr>
        <w:rPr>
          <w:b/>
        </w:rPr>
      </w:pPr>
      <w:r w:rsidRPr="00EC78BC">
        <w:rPr>
          <w:b/>
        </w:rPr>
        <w:t>CONSIDERANDO</w:t>
      </w:r>
    </w:p>
    <w:p w14:paraId="63F938AE" w14:textId="77777777" w:rsidR="0008592E" w:rsidRPr="00256456" w:rsidRDefault="0008592E" w:rsidP="006A7A0E"/>
    <w:p w14:paraId="6B004E44" w14:textId="30E5DBBE" w:rsidR="00857F0A" w:rsidRPr="00EC78BC" w:rsidRDefault="00505D21" w:rsidP="00256456">
      <w:pPr>
        <w:pStyle w:val="Prrafodelista"/>
        <w:numPr>
          <w:ilvl w:val="0"/>
          <w:numId w:val="5"/>
        </w:numPr>
        <w:ind w:left="2127" w:hanging="567"/>
        <w:rPr>
          <w:rFonts w:ascii="Arial" w:hAnsi="Arial"/>
        </w:rPr>
      </w:pPr>
      <w:r w:rsidRPr="00EC78BC">
        <w:rPr>
          <w:rFonts w:ascii="Arial" w:hAnsi="Arial"/>
        </w:rPr>
        <w:t>Que,</w:t>
      </w:r>
      <w:r w:rsidR="0008592E" w:rsidRPr="00EC78BC">
        <w:rPr>
          <w:rFonts w:ascii="Arial" w:hAnsi="Arial"/>
        </w:rPr>
        <w:t xml:space="preserve"> </w:t>
      </w:r>
      <w:r w:rsidR="00654E17" w:rsidRPr="00EC78BC">
        <w:rPr>
          <w:rFonts w:ascii="Arial" w:hAnsi="Arial"/>
        </w:rPr>
        <w:t xml:space="preserve">atendido lo dispuesto en </w:t>
      </w:r>
      <w:r w:rsidR="0008592E" w:rsidRPr="00EC78BC">
        <w:rPr>
          <w:rFonts w:ascii="Arial" w:hAnsi="Arial"/>
        </w:rPr>
        <w:t xml:space="preserve">los </w:t>
      </w:r>
      <w:r w:rsidR="00654E17" w:rsidRPr="00EC78BC">
        <w:rPr>
          <w:rFonts w:ascii="Arial" w:hAnsi="Arial"/>
        </w:rPr>
        <w:t>artículo</w:t>
      </w:r>
      <w:r w:rsidRPr="00EC78BC">
        <w:rPr>
          <w:rFonts w:ascii="Arial" w:hAnsi="Arial"/>
        </w:rPr>
        <w:t>s</w:t>
      </w:r>
      <w:r w:rsidR="0008592E" w:rsidRPr="00EC78BC">
        <w:rPr>
          <w:rFonts w:ascii="Arial" w:hAnsi="Arial"/>
        </w:rPr>
        <w:t xml:space="preserve"> 3° letra m) y 3° transitorio de la Ley N° 19.995, en concordancia con lo prescrito en el artículo 12 del Decreto Supremo N° </w:t>
      </w:r>
      <w:r w:rsidR="00A2708C" w:rsidRPr="00EC78BC">
        <w:rPr>
          <w:rFonts w:ascii="Arial" w:hAnsi="Arial"/>
        </w:rPr>
        <w:t>1</w:t>
      </w:r>
      <w:r w:rsidR="000D2745" w:rsidRPr="00EC78BC">
        <w:rPr>
          <w:rFonts w:ascii="Arial" w:hAnsi="Arial"/>
        </w:rPr>
        <w:t>.</w:t>
      </w:r>
      <w:r w:rsidR="00A2708C" w:rsidRPr="00EC78BC">
        <w:rPr>
          <w:rFonts w:ascii="Arial" w:hAnsi="Arial"/>
        </w:rPr>
        <w:t>722 de 2015</w:t>
      </w:r>
      <w:r w:rsidR="008504AF" w:rsidRPr="00EC78BC">
        <w:rPr>
          <w:rFonts w:ascii="Arial" w:hAnsi="Arial"/>
        </w:rPr>
        <w:t xml:space="preserve">, del Ministerio de Hacienda, </w:t>
      </w:r>
      <w:r w:rsidR="0008592E" w:rsidRPr="00EC78BC">
        <w:rPr>
          <w:rFonts w:ascii="Arial" w:hAnsi="Arial"/>
        </w:rPr>
        <w:t xml:space="preserve">esta Superintendencia debe aprobar las Bases Técnicas </w:t>
      </w:r>
      <w:r w:rsidR="003659A5" w:rsidRPr="00EC78BC">
        <w:rPr>
          <w:rFonts w:ascii="Arial" w:hAnsi="Arial"/>
        </w:rPr>
        <w:t>aplicables</w:t>
      </w:r>
      <w:r w:rsidR="0008592E" w:rsidRPr="00EC78BC">
        <w:rPr>
          <w:rFonts w:ascii="Arial" w:hAnsi="Arial"/>
        </w:rPr>
        <w:t xml:space="preserve"> </w:t>
      </w:r>
      <w:r w:rsidR="003659A5" w:rsidRPr="00EC78BC">
        <w:rPr>
          <w:rFonts w:ascii="Arial" w:hAnsi="Arial"/>
        </w:rPr>
        <w:t xml:space="preserve">a </w:t>
      </w:r>
      <w:r w:rsidR="0008592E" w:rsidRPr="00EC78BC">
        <w:rPr>
          <w:rFonts w:ascii="Arial" w:hAnsi="Arial"/>
        </w:rPr>
        <w:t xml:space="preserve">las sociedades postulantes </w:t>
      </w:r>
      <w:r w:rsidR="001228AE" w:rsidRPr="00EC78BC">
        <w:rPr>
          <w:rFonts w:ascii="Arial" w:hAnsi="Arial"/>
        </w:rPr>
        <w:t xml:space="preserve">a un permiso de operación de Casino de Juego </w:t>
      </w:r>
      <w:r w:rsidR="0008592E" w:rsidRPr="00EC78BC">
        <w:rPr>
          <w:rFonts w:ascii="Arial" w:hAnsi="Arial"/>
        </w:rPr>
        <w:t>para ser evaluadas</w:t>
      </w:r>
      <w:r w:rsidR="000A474C" w:rsidRPr="00EC78BC">
        <w:rPr>
          <w:rFonts w:ascii="Arial" w:hAnsi="Arial"/>
        </w:rPr>
        <w:t xml:space="preserve">. </w:t>
      </w:r>
    </w:p>
    <w:p w14:paraId="05C7657E" w14:textId="77777777" w:rsidR="00857F0A" w:rsidRPr="00256456" w:rsidRDefault="00857F0A" w:rsidP="00256456">
      <w:pPr>
        <w:ind w:left="2127" w:hanging="567"/>
      </w:pPr>
    </w:p>
    <w:p w14:paraId="4D8D3DB5" w14:textId="77777777" w:rsidR="00857F0A" w:rsidRPr="00EC78BC" w:rsidRDefault="00857F0A" w:rsidP="00256456">
      <w:pPr>
        <w:pStyle w:val="Prrafodelista"/>
        <w:numPr>
          <w:ilvl w:val="0"/>
          <w:numId w:val="5"/>
        </w:numPr>
        <w:ind w:left="2127" w:hanging="567"/>
        <w:rPr>
          <w:rFonts w:ascii="Arial" w:hAnsi="Arial"/>
        </w:rPr>
      </w:pPr>
      <w:r w:rsidRPr="00EC78BC">
        <w:rPr>
          <w:rFonts w:ascii="Arial" w:hAnsi="Arial"/>
        </w:rPr>
        <w:t>Que a</w:t>
      </w:r>
      <w:r w:rsidR="000A474C" w:rsidRPr="00EC78BC">
        <w:rPr>
          <w:rFonts w:ascii="Arial" w:hAnsi="Arial"/>
        </w:rPr>
        <w:t xml:space="preserve">tendido lo expuesto precedentemente y en uso de mis facultades legales, </w:t>
      </w:r>
      <w:r w:rsidR="005D58A6" w:rsidRPr="00EC78BC">
        <w:rPr>
          <w:rFonts w:ascii="Arial" w:hAnsi="Arial"/>
        </w:rPr>
        <w:t>dicto la siguiente,</w:t>
      </w:r>
    </w:p>
    <w:p w14:paraId="3E8525AA" w14:textId="77777777" w:rsidR="00857F0A" w:rsidRPr="00256456" w:rsidRDefault="00857F0A" w:rsidP="006A7A0E"/>
    <w:p w14:paraId="1502CD97" w14:textId="77777777" w:rsidR="00857F0A" w:rsidRPr="00256456" w:rsidRDefault="00857F0A" w:rsidP="006A7A0E"/>
    <w:p w14:paraId="2795E3BD" w14:textId="77777777" w:rsidR="00857F0A" w:rsidRPr="00ED1EF4" w:rsidRDefault="005D58A6" w:rsidP="006A7A0E">
      <w:pPr>
        <w:rPr>
          <w:b/>
        </w:rPr>
      </w:pPr>
      <w:r w:rsidRPr="00ED1EF4">
        <w:rPr>
          <w:b/>
        </w:rPr>
        <w:t>RESOLUCIÓN</w:t>
      </w:r>
    </w:p>
    <w:p w14:paraId="3C4E80E2" w14:textId="77777777" w:rsidR="00857F0A" w:rsidRPr="00EC78BC" w:rsidRDefault="00857F0A" w:rsidP="006A7A0E">
      <w:pPr>
        <w:rPr>
          <w:lang w:val="pt-BR"/>
        </w:rPr>
      </w:pPr>
    </w:p>
    <w:p w14:paraId="2AB332EC" w14:textId="77777777" w:rsidR="00857F0A" w:rsidRPr="00EC78BC" w:rsidRDefault="00857F0A" w:rsidP="006A7A0E">
      <w:pPr>
        <w:rPr>
          <w:snapToGrid w:val="0"/>
        </w:rPr>
      </w:pPr>
      <w:r w:rsidRPr="00EC78BC">
        <w:t>1°.</w:t>
      </w:r>
      <w:r w:rsidR="00475140" w:rsidRPr="00EC78BC">
        <w:t xml:space="preserve"> </w:t>
      </w:r>
      <w:r w:rsidRPr="00EC78BC">
        <w:t xml:space="preserve"> </w:t>
      </w:r>
      <w:r w:rsidR="00B1576D" w:rsidRPr="00EC78BC">
        <w:t>Apruébense</w:t>
      </w:r>
      <w:r w:rsidR="000A474C" w:rsidRPr="00EC78BC">
        <w:t xml:space="preserve"> las Bases Técnicas </w:t>
      </w:r>
      <w:r w:rsidR="008504AF" w:rsidRPr="00EC78BC">
        <w:rPr>
          <w:lang w:eastAsia="es-CL"/>
        </w:rPr>
        <w:t>para el otorgamiento de</w:t>
      </w:r>
      <w:r w:rsidR="0037514C" w:rsidRPr="00EC78BC">
        <w:rPr>
          <w:lang w:eastAsia="es-CL"/>
        </w:rPr>
        <w:t>l</w:t>
      </w:r>
      <w:r w:rsidR="000A474C" w:rsidRPr="00EC78BC">
        <w:rPr>
          <w:lang w:eastAsia="es-CL"/>
        </w:rPr>
        <w:t xml:space="preserve"> permiso de operación </w:t>
      </w:r>
      <w:r w:rsidR="0037514C" w:rsidRPr="00EC78BC">
        <w:rPr>
          <w:lang w:eastAsia="es-CL"/>
        </w:rPr>
        <w:t>de</w:t>
      </w:r>
      <w:r w:rsidR="000A474C" w:rsidRPr="00EC78BC">
        <w:rPr>
          <w:lang w:eastAsia="es-CL"/>
        </w:rPr>
        <w:t xml:space="preserve"> un casino de juego en la comuna de </w:t>
      </w:r>
      <w:r w:rsidR="00706F45" w:rsidRPr="00EC78BC">
        <w:rPr>
          <w:highlight w:val="yellow"/>
          <w:lang w:eastAsia="es-CL"/>
        </w:rPr>
        <w:t>XXXXXX</w:t>
      </w:r>
      <w:r w:rsidR="000A474C" w:rsidRPr="00EC78BC">
        <w:rPr>
          <w:lang w:eastAsia="es-CL"/>
        </w:rPr>
        <w:t xml:space="preserve">, </w:t>
      </w:r>
      <w:r w:rsidR="009F54A9" w:rsidRPr="00EC78BC">
        <w:rPr>
          <w:lang w:eastAsia="es-CL"/>
        </w:rPr>
        <w:t>c</w:t>
      </w:r>
      <w:r w:rsidRPr="00EC78BC">
        <w:rPr>
          <w:lang w:eastAsia="es-CL"/>
        </w:rPr>
        <w:t>uyo texto es el siguiente:</w:t>
      </w:r>
    </w:p>
    <w:p w14:paraId="37B552E3" w14:textId="77777777" w:rsidR="006B1115" w:rsidRPr="00B1576D" w:rsidRDefault="006B1115" w:rsidP="006A7A0E">
      <w:pPr>
        <w:rPr>
          <w:sz w:val="28"/>
        </w:rPr>
      </w:pPr>
      <w:r w:rsidRPr="00B1576D">
        <w:br w:type="page"/>
      </w:r>
    </w:p>
    <w:p w14:paraId="4239AF6C" w14:textId="77777777" w:rsidR="005574FB" w:rsidRDefault="005574FB" w:rsidP="00ED1EF4">
      <w:pPr>
        <w:pBdr>
          <w:bottom w:val="single" w:sz="4" w:space="1" w:color="auto"/>
        </w:pBdr>
        <w:spacing w:after="480"/>
        <w:rPr>
          <w:b/>
          <w:caps/>
          <w:sz w:val="36"/>
        </w:rPr>
      </w:pPr>
      <w:bookmarkStart w:id="0" w:name="_Toc446344987"/>
      <w:r w:rsidRPr="00ED1EF4">
        <w:rPr>
          <w:b/>
          <w:caps/>
          <w:sz w:val="36"/>
        </w:rPr>
        <w:lastRenderedPageBreak/>
        <w:t>Indice</w:t>
      </w:r>
      <w:bookmarkEnd w:id="0"/>
    </w:p>
    <w:p w14:paraId="64C9A21C" w14:textId="77777777" w:rsidR="00F37F56" w:rsidRDefault="00ED1EF4">
      <w:pPr>
        <w:pStyle w:val="TDC1"/>
        <w:rPr>
          <w:rFonts w:asciiTheme="minorHAnsi" w:eastAsiaTheme="minorEastAsia" w:hAnsiTheme="minorHAnsi" w:cstheme="minorBidi"/>
          <w:b w:val="0"/>
          <w:caps w:val="0"/>
          <w:noProof/>
          <w:sz w:val="22"/>
          <w:lang w:val="es-419" w:eastAsia="es-419"/>
        </w:rPr>
      </w:pPr>
      <w:r>
        <w:rPr>
          <w:b w:val="0"/>
          <w:caps w:val="0"/>
        </w:rPr>
        <w:fldChar w:fldCharType="begin"/>
      </w:r>
      <w:r>
        <w:rPr>
          <w:b w:val="0"/>
          <w:caps w:val="0"/>
        </w:rPr>
        <w:instrText xml:space="preserve"> TOC \o "1-3" \h \z \u </w:instrText>
      </w:r>
      <w:r>
        <w:rPr>
          <w:b w:val="0"/>
          <w:caps w:val="0"/>
        </w:rPr>
        <w:fldChar w:fldCharType="separate"/>
      </w:r>
      <w:hyperlink w:anchor="_Toc448326231" w:history="1">
        <w:r w:rsidR="00F37F56" w:rsidRPr="00772E19">
          <w:rPr>
            <w:rStyle w:val="Hipervnculo"/>
            <w:noProof/>
          </w:rPr>
          <w:t>1.</w:t>
        </w:r>
        <w:r w:rsidR="00F37F56">
          <w:rPr>
            <w:rFonts w:asciiTheme="minorHAnsi" w:eastAsiaTheme="minorEastAsia" w:hAnsiTheme="minorHAnsi" w:cstheme="minorBidi"/>
            <w:b w:val="0"/>
            <w:caps w:val="0"/>
            <w:noProof/>
            <w:sz w:val="22"/>
            <w:lang w:val="es-419" w:eastAsia="es-419"/>
          </w:rPr>
          <w:tab/>
        </w:r>
        <w:r w:rsidR="00F37F56" w:rsidRPr="00772E19">
          <w:rPr>
            <w:rStyle w:val="Hipervnculo"/>
            <w:noProof/>
          </w:rPr>
          <w:t>Antecedentes Generales</w:t>
        </w:r>
        <w:r w:rsidR="00F37F56">
          <w:rPr>
            <w:noProof/>
            <w:webHidden/>
          </w:rPr>
          <w:tab/>
        </w:r>
        <w:r w:rsidR="00F37F56">
          <w:rPr>
            <w:noProof/>
            <w:webHidden/>
          </w:rPr>
          <w:fldChar w:fldCharType="begin"/>
        </w:r>
        <w:r w:rsidR="00F37F56">
          <w:rPr>
            <w:noProof/>
            <w:webHidden/>
          </w:rPr>
          <w:instrText xml:space="preserve"> PAGEREF _Toc448326231 \h </w:instrText>
        </w:r>
        <w:r w:rsidR="00F37F56">
          <w:rPr>
            <w:noProof/>
            <w:webHidden/>
          </w:rPr>
        </w:r>
        <w:r w:rsidR="00F37F56">
          <w:rPr>
            <w:noProof/>
            <w:webHidden/>
          </w:rPr>
          <w:fldChar w:fldCharType="separate"/>
        </w:r>
        <w:r w:rsidR="00F37F56">
          <w:rPr>
            <w:noProof/>
            <w:webHidden/>
          </w:rPr>
          <w:t>3</w:t>
        </w:r>
        <w:r w:rsidR="00F37F56">
          <w:rPr>
            <w:noProof/>
            <w:webHidden/>
          </w:rPr>
          <w:fldChar w:fldCharType="end"/>
        </w:r>
      </w:hyperlink>
    </w:p>
    <w:p w14:paraId="265CED5B"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32" w:history="1">
        <w:r w:rsidR="00F37F56" w:rsidRPr="00772E19">
          <w:rPr>
            <w:rStyle w:val="Hipervnculo"/>
          </w:rPr>
          <w:t>1.1.</w:t>
        </w:r>
        <w:r w:rsidR="00F37F56">
          <w:rPr>
            <w:rFonts w:asciiTheme="minorHAnsi" w:eastAsiaTheme="minorEastAsia" w:hAnsiTheme="minorHAnsi" w:cstheme="minorBidi"/>
            <w:b w:val="0"/>
            <w:sz w:val="22"/>
            <w:lang w:val="es-419" w:eastAsia="es-419"/>
          </w:rPr>
          <w:tab/>
        </w:r>
        <w:r w:rsidR="00F37F56" w:rsidRPr="00772E19">
          <w:rPr>
            <w:rStyle w:val="Hipervnculo"/>
          </w:rPr>
          <w:t>Introducción</w:t>
        </w:r>
        <w:r w:rsidR="00F37F56">
          <w:rPr>
            <w:webHidden/>
          </w:rPr>
          <w:tab/>
        </w:r>
        <w:r w:rsidR="00F37F56">
          <w:rPr>
            <w:webHidden/>
          </w:rPr>
          <w:fldChar w:fldCharType="begin"/>
        </w:r>
        <w:r w:rsidR="00F37F56">
          <w:rPr>
            <w:webHidden/>
          </w:rPr>
          <w:instrText xml:space="preserve"> PAGEREF _Toc448326232 \h </w:instrText>
        </w:r>
        <w:r w:rsidR="00F37F56">
          <w:rPr>
            <w:webHidden/>
          </w:rPr>
        </w:r>
        <w:r w:rsidR="00F37F56">
          <w:rPr>
            <w:webHidden/>
          </w:rPr>
          <w:fldChar w:fldCharType="separate"/>
        </w:r>
        <w:r w:rsidR="00F37F56">
          <w:rPr>
            <w:webHidden/>
          </w:rPr>
          <w:t>3</w:t>
        </w:r>
        <w:r w:rsidR="00F37F56">
          <w:rPr>
            <w:webHidden/>
          </w:rPr>
          <w:fldChar w:fldCharType="end"/>
        </w:r>
      </w:hyperlink>
    </w:p>
    <w:p w14:paraId="560A8616"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33" w:history="1">
        <w:r w:rsidR="00F37F56" w:rsidRPr="00772E19">
          <w:rPr>
            <w:rStyle w:val="Hipervnculo"/>
          </w:rPr>
          <w:t>1.2.</w:t>
        </w:r>
        <w:r w:rsidR="00F37F56">
          <w:rPr>
            <w:rFonts w:asciiTheme="minorHAnsi" w:eastAsiaTheme="minorEastAsia" w:hAnsiTheme="minorHAnsi" w:cstheme="minorBidi"/>
            <w:b w:val="0"/>
            <w:sz w:val="22"/>
            <w:lang w:val="es-419" w:eastAsia="es-419"/>
          </w:rPr>
          <w:tab/>
        </w:r>
        <w:r w:rsidR="00F37F56" w:rsidRPr="00772E19">
          <w:rPr>
            <w:rStyle w:val="Hipervnculo"/>
          </w:rPr>
          <w:t>Condiciones Especiales</w:t>
        </w:r>
        <w:r w:rsidR="00F37F56">
          <w:rPr>
            <w:webHidden/>
          </w:rPr>
          <w:tab/>
        </w:r>
        <w:r w:rsidR="00F37F56">
          <w:rPr>
            <w:webHidden/>
          </w:rPr>
          <w:fldChar w:fldCharType="begin"/>
        </w:r>
        <w:r w:rsidR="00F37F56">
          <w:rPr>
            <w:webHidden/>
          </w:rPr>
          <w:instrText xml:space="preserve"> PAGEREF _Toc448326233 \h </w:instrText>
        </w:r>
        <w:r w:rsidR="00F37F56">
          <w:rPr>
            <w:webHidden/>
          </w:rPr>
        </w:r>
        <w:r w:rsidR="00F37F56">
          <w:rPr>
            <w:webHidden/>
          </w:rPr>
          <w:fldChar w:fldCharType="separate"/>
        </w:r>
        <w:r w:rsidR="00F37F56">
          <w:rPr>
            <w:webHidden/>
          </w:rPr>
          <w:t>4</w:t>
        </w:r>
        <w:r w:rsidR="00F37F56">
          <w:rPr>
            <w:webHidden/>
          </w:rPr>
          <w:fldChar w:fldCharType="end"/>
        </w:r>
      </w:hyperlink>
    </w:p>
    <w:p w14:paraId="6CC6E583"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34" w:history="1">
        <w:r w:rsidR="00F37F56" w:rsidRPr="00772E19">
          <w:rPr>
            <w:rStyle w:val="Hipervnculo"/>
          </w:rPr>
          <w:t>1.2.1.</w:t>
        </w:r>
        <w:r w:rsidR="00F37F56">
          <w:rPr>
            <w:rFonts w:asciiTheme="minorHAnsi" w:eastAsiaTheme="minorEastAsia" w:hAnsiTheme="minorHAnsi" w:cstheme="minorBidi"/>
            <w:sz w:val="22"/>
            <w:lang w:val="es-419" w:eastAsia="es-419"/>
          </w:rPr>
          <w:tab/>
        </w:r>
        <w:r w:rsidR="00F37F56" w:rsidRPr="00772E19">
          <w:rPr>
            <w:rStyle w:val="Hipervnculo"/>
          </w:rPr>
          <w:t>Comuna de Arica</w:t>
        </w:r>
        <w:r w:rsidR="00F37F56">
          <w:rPr>
            <w:webHidden/>
          </w:rPr>
          <w:tab/>
        </w:r>
        <w:r w:rsidR="00F37F56">
          <w:rPr>
            <w:webHidden/>
          </w:rPr>
          <w:fldChar w:fldCharType="begin"/>
        </w:r>
        <w:r w:rsidR="00F37F56">
          <w:rPr>
            <w:webHidden/>
          </w:rPr>
          <w:instrText xml:space="preserve"> PAGEREF _Toc448326234 \h </w:instrText>
        </w:r>
        <w:r w:rsidR="00F37F56">
          <w:rPr>
            <w:webHidden/>
          </w:rPr>
        </w:r>
        <w:r w:rsidR="00F37F56">
          <w:rPr>
            <w:webHidden/>
          </w:rPr>
          <w:fldChar w:fldCharType="separate"/>
        </w:r>
        <w:r w:rsidR="00F37F56">
          <w:rPr>
            <w:webHidden/>
          </w:rPr>
          <w:t>4</w:t>
        </w:r>
        <w:r w:rsidR="00F37F56">
          <w:rPr>
            <w:webHidden/>
          </w:rPr>
          <w:fldChar w:fldCharType="end"/>
        </w:r>
      </w:hyperlink>
    </w:p>
    <w:p w14:paraId="255FC588"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35" w:history="1">
        <w:r w:rsidR="00F37F56" w:rsidRPr="00772E19">
          <w:rPr>
            <w:rStyle w:val="Hipervnculo"/>
          </w:rPr>
          <w:t>1.2.2.</w:t>
        </w:r>
        <w:r w:rsidR="00F37F56">
          <w:rPr>
            <w:rFonts w:asciiTheme="minorHAnsi" w:eastAsiaTheme="minorEastAsia" w:hAnsiTheme="minorHAnsi" w:cstheme="minorBidi"/>
            <w:sz w:val="22"/>
            <w:lang w:val="es-419" w:eastAsia="es-419"/>
          </w:rPr>
          <w:tab/>
        </w:r>
        <w:r w:rsidR="00F37F56" w:rsidRPr="00772E19">
          <w:rPr>
            <w:rStyle w:val="Hipervnculo"/>
          </w:rPr>
          <w:t>Comuna de Iquique</w:t>
        </w:r>
        <w:r w:rsidR="00F37F56">
          <w:rPr>
            <w:webHidden/>
          </w:rPr>
          <w:tab/>
        </w:r>
        <w:r w:rsidR="00F37F56">
          <w:rPr>
            <w:webHidden/>
          </w:rPr>
          <w:fldChar w:fldCharType="begin"/>
        </w:r>
        <w:r w:rsidR="00F37F56">
          <w:rPr>
            <w:webHidden/>
          </w:rPr>
          <w:instrText xml:space="preserve"> PAGEREF _Toc448326235 \h </w:instrText>
        </w:r>
        <w:r w:rsidR="00F37F56">
          <w:rPr>
            <w:webHidden/>
          </w:rPr>
        </w:r>
        <w:r w:rsidR="00F37F56">
          <w:rPr>
            <w:webHidden/>
          </w:rPr>
          <w:fldChar w:fldCharType="separate"/>
        </w:r>
        <w:r w:rsidR="00F37F56">
          <w:rPr>
            <w:webHidden/>
          </w:rPr>
          <w:t>5</w:t>
        </w:r>
        <w:r w:rsidR="00F37F56">
          <w:rPr>
            <w:webHidden/>
          </w:rPr>
          <w:fldChar w:fldCharType="end"/>
        </w:r>
      </w:hyperlink>
    </w:p>
    <w:p w14:paraId="6629BE75"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36" w:history="1">
        <w:r w:rsidR="00F37F56" w:rsidRPr="00772E19">
          <w:rPr>
            <w:rStyle w:val="Hipervnculo"/>
          </w:rPr>
          <w:t>1.2.3.</w:t>
        </w:r>
        <w:r w:rsidR="00F37F56">
          <w:rPr>
            <w:rFonts w:asciiTheme="minorHAnsi" w:eastAsiaTheme="minorEastAsia" w:hAnsiTheme="minorHAnsi" w:cstheme="minorBidi"/>
            <w:sz w:val="22"/>
            <w:lang w:val="es-419" w:eastAsia="es-419"/>
          </w:rPr>
          <w:tab/>
        </w:r>
        <w:r w:rsidR="00F37F56" w:rsidRPr="00772E19">
          <w:rPr>
            <w:rStyle w:val="Hipervnculo"/>
          </w:rPr>
          <w:t>Comuna de Coquimbo</w:t>
        </w:r>
        <w:r w:rsidR="00F37F56">
          <w:rPr>
            <w:webHidden/>
          </w:rPr>
          <w:tab/>
        </w:r>
        <w:r w:rsidR="00F37F56">
          <w:rPr>
            <w:webHidden/>
          </w:rPr>
          <w:fldChar w:fldCharType="begin"/>
        </w:r>
        <w:r w:rsidR="00F37F56">
          <w:rPr>
            <w:webHidden/>
          </w:rPr>
          <w:instrText xml:space="preserve"> PAGEREF _Toc448326236 \h </w:instrText>
        </w:r>
        <w:r w:rsidR="00F37F56">
          <w:rPr>
            <w:webHidden/>
          </w:rPr>
        </w:r>
        <w:r w:rsidR="00F37F56">
          <w:rPr>
            <w:webHidden/>
          </w:rPr>
          <w:fldChar w:fldCharType="separate"/>
        </w:r>
        <w:r w:rsidR="00F37F56">
          <w:rPr>
            <w:webHidden/>
          </w:rPr>
          <w:t>5</w:t>
        </w:r>
        <w:r w:rsidR="00F37F56">
          <w:rPr>
            <w:webHidden/>
          </w:rPr>
          <w:fldChar w:fldCharType="end"/>
        </w:r>
      </w:hyperlink>
    </w:p>
    <w:p w14:paraId="6A7C765A"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37" w:history="1">
        <w:r w:rsidR="00F37F56" w:rsidRPr="00772E19">
          <w:rPr>
            <w:rStyle w:val="Hipervnculo"/>
          </w:rPr>
          <w:t>1.2.4.</w:t>
        </w:r>
        <w:r w:rsidR="00F37F56">
          <w:rPr>
            <w:rFonts w:asciiTheme="minorHAnsi" w:eastAsiaTheme="minorEastAsia" w:hAnsiTheme="minorHAnsi" w:cstheme="minorBidi"/>
            <w:sz w:val="22"/>
            <w:lang w:val="es-419" w:eastAsia="es-419"/>
          </w:rPr>
          <w:tab/>
        </w:r>
        <w:r w:rsidR="00F37F56" w:rsidRPr="00772E19">
          <w:rPr>
            <w:rStyle w:val="Hipervnculo"/>
          </w:rPr>
          <w:t>Comuna de Viña del Mar</w:t>
        </w:r>
        <w:r w:rsidR="00F37F56">
          <w:rPr>
            <w:webHidden/>
          </w:rPr>
          <w:tab/>
        </w:r>
        <w:r w:rsidR="00F37F56">
          <w:rPr>
            <w:webHidden/>
          </w:rPr>
          <w:fldChar w:fldCharType="begin"/>
        </w:r>
        <w:r w:rsidR="00F37F56">
          <w:rPr>
            <w:webHidden/>
          </w:rPr>
          <w:instrText xml:space="preserve"> PAGEREF _Toc448326237 \h </w:instrText>
        </w:r>
        <w:r w:rsidR="00F37F56">
          <w:rPr>
            <w:webHidden/>
          </w:rPr>
        </w:r>
        <w:r w:rsidR="00F37F56">
          <w:rPr>
            <w:webHidden/>
          </w:rPr>
          <w:fldChar w:fldCharType="separate"/>
        </w:r>
        <w:r w:rsidR="00F37F56">
          <w:rPr>
            <w:webHidden/>
          </w:rPr>
          <w:t>6</w:t>
        </w:r>
        <w:r w:rsidR="00F37F56">
          <w:rPr>
            <w:webHidden/>
          </w:rPr>
          <w:fldChar w:fldCharType="end"/>
        </w:r>
      </w:hyperlink>
    </w:p>
    <w:p w14:paraId="43D55175"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38" w:history="1">
        <w:r w:rsidR="00F37F56" w:rsidRPr="00772E19">
          <w:rPr>
            <w:rStyle w:val="Hipervnculo"/>
          </w:rPr>
          <w:t>1.2.5.</w:t>
        </w:r>
        <w:r w:rsidR="00F37F56">
          <w:rPr>
            <w:rFonts w:asciiTheme="minorHAnsi" w:eastAsiaTheme="minorEastAsia" w:hAnsiTheme="minorHAnsi" w:cstheme="minorBidi"/>
            <w:sz w:val="22"/>
            <w:lang w:val="es-419" w:eastAsia="es-419"/>
          </w:rPr>
          <w:tab/>
        </w:r>
        <w:r w:rsidR="00F37F56" w:rsidRPr="00772E19">
          <w:rPr>
            <w:rStyle w:val="Hipervnculo"/>
          </w:rPr>
          <w:t>Comuna de Pucón</w:t>
        </w:r>
        <w:r w:rsidR="00F37F56">
          <w:rPr>
            <w:webHidden/>
          </w:rPr>
          <w:tab/>
        </w:r>
        <w:r w:rsidR="00F37F56">
          <w:rPr>
            <w:webHidden/>
          </w:rPr>
          <w:fldChar w:fldCharType="begin"/>
        </w:r>
        <w:r w:rsidR="00F37F56">
          <w:rPr>
            <w:webHidden/>
          </w:rPr>
          <w:instrText xml:space="preserve"> PAGEREF _Toc448326238 \h </w:instrText>
        </w:r>
        <w:r w:rsidR="00F37F56">
          <w:rPr>
            <w:webHidden/>
          </w:rPr>
        </w:r>
        <w:r w:rsidR="00F37F56">
          <w:rPr>
            <w:webHidden/>
          </w:rPr>
          <w:fldChar w:fldCharType="separate"/>
        </w:r>
        <w:r w:rsidR="00F37F56">
          <w:rPr>
            <w:webHidden/>
          </w:rPr>
          <w:t>6</w:t>
        </w:r>
        <w:r w:rsidR="00F37F56">
          <w:rPr>
            <w:webHidden/>
          </w:rPr>
          <w:fldChar w:fldCharType="end"/>
        </w:r>
      </w:hyperlink>
    </w:p>
    <w:p w14:paraId="69A2CB85"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39" w:history="1">
        <w:r w:rsidR="00F37F56" w:rsidRPr="00772E19">
          <w:rPr>
            <w:rStyle w:val="Hipervnculo"/>
          </w:rPr>
          <w:t>1.2.6.</w:t>
        </w:r>
        <w:r w:rsidR="00F37F56">
          <w:rPr>
            <w:rFonts w:asciiTheme="minorHAnsi" w:eastAsiaTheme="minorEastAsia" w:hAnsiTheme="minorHAnsi" w:cstheme="minorBidi"/>
            <w:sz w:val="22"/>
            <w:lang w:val="es-419" w:eastAsia="es-419"/>
          </w:rPr>
          <w:tab/>
        </w:r>
        <w:r w:rsidR="00F37F56" w:rsidRPr="00772E19">
          <w:rPr>
            <w:rStyle w:val="Hipervnculo"/>
          </w:rPr>
          <w:t>Comuna de Puerto Varas</w:t>
        </w:r>
        <w:r w:rsidR="00F37F56">
          <w:rPr>
            <w:webHidden/>
          </w:rPr>
          <w:tab/>
        </w:r>
        <w:r w:rsidR="00F37F56">
          <w:rPr>
            <w:webHidden/>
          </w:rPr>
          <w:fldChar w:fldCharType="begin"/>
        </w:r>
        <w:r w:rsidR="00F37F56">
          <w:rPr>
            <w:webHidden/>
          </w:rPr>
          <w:instrText xml:space="preserve"> PAGEREF _Toc448326239 \h </w:instrText>
        </w:r>
        <w:r w:rsidR="00F37F56">
          <w:rPr>
            <w:webHidden/>
          </w:rPr>
        </w:r>
        <w:r w:rsidR="00F37F56">
          <w:rPr>
            <w:webHidden/>
          </w:rPr>
          <w:fldChar w:fldCharType="separate"/>
        </w:r>
        <w:r w:rsidR="00F37F56">
          <w:rPr>
            <w:webHidden/>
          </w:rPr>
          <w:t>6</w:t>
        </w:r>
        <w:r w:rsidR="00F37F56">
          <w:rPr>
            <w:webHidden/>
          </w:rPr>
          <w:fldChar w:fldCharType="end"/>
        </w:r>
      </w:hyperlink>
    </w:p>
    <w:p w14:paraId="25669B3D"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40" w:history="1">
        <w:r w:rsidR="00F37F56" w:rsidRPr="00772E19">
          <w:rPr>
            <w:rStyle w:val="Hipervnculo"/>
          </w:rPr>
          <w:t>1.2.7.</w:t>
        </w:r>
        <w:r w:rsidR="00F37F56">
          <w:rPr>
            <w:rFonts w:asciiTheme="minorHAnsi" w:eastAsiaTheme="minorEastAsia" w:hAnsiTheme="minorHAnsi" w:cstheme="minorBidi"/>
            <w:sz w:val="22"/>
            <w:lang w:val="es-419" w:eastAsia="es-419"/>
          </w:rPr>
          <w:tab/>
        </w:r>
        <w:r w:rsidR="00F37F56" w:rsidRPr="00772E19">
          <w:rPr>
            <w:rStyle w:val="Hipervnculo"/>
          </w:rPr>
          <w:t>Comuna de Puerto Natales</w:t>
        </w:r>
        <w:r w:rsidR="00F37F56">
          <w:rPr>
            <w:webHidden/>
          </w:rPr>
          <w:tab/>
        </w:r>
        <w:r w:rsidR="00F37F56">
          <w:rPr>
            <w:webHidden/>
          </w:rPr>
          <w:fldChar w:fldCharType="begin"/>
        </w:r>
        <w:r w:rsidR="00F37F56">
          <w:rPr>
            <w:webHidden/>
          </w:rPr>
          <w:instrText xml:space="preserve"> PAGEREF _Toc448326240 \h </w:instrText>
        </w:r>
        <w:r w:rsidR="00F37F56">
          <w:rPr>
            <w:webHidden/>
          </w:rPr>
        </w:r>
        <w:r w:rsidR="00F37F56">
          <w:rPr>
            <w:webHidden/>
          </w:rPr>
          <w:fldChar w:fldCharType="separate"/>
        </w:r>
        <w:r w:rsidR="00F37F56">
          <w:rPr>
            <w:webHidden/>
          </w:rPr>
          <w:t>7</w:t>
        </w:r>
        <w:r w:rsidR="00F37F56">
          <w:rPr>
            <w:webHidden/>
          </w:rPr>
          <w:fldChar w:fldCharType="end"/>
        </w:r>
      </w:hyperlink>
    </w:p>
    <w:p w14:paraId="6C5E388B"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1" w:history="1">
        <w:r w:rsidR="00F37F56" w:rsidRPr="00772E19">
          <w:rPr>
            <w:rStyle w:val="Hipervnculo"/>
          </w:rPr>
          <w:t>1.3.</w:t>
        </w:r>
        <w:r w:rsidR="00F37F56">
          <w:rPr>
            <w:rFonts w:asciiTheme="minorHAnsi" w:eastAsiaTheme="minorEastAsia" w:hAnsiTheme="minorHAnsi" w:cstheme="minorBidi"/>
            <w:b w:val="0"/>
            <w:sz w:val="22"/>
            <w:lang w:val="es-419" w:eastAsia="es-419"/>
          </w:rPr>
          <w:tab/>
        </w:r>
        <w:r w:rsidR="00F37F56" w:rsidRPr="00772E19">
          <w:rPr>
            <w:rStyle w:val="Hipervnculo"/>
          </w:rPr>
          <w:t>Comunicación durante el Proceso de Otorgamiento de un Permiso de Operación</w:t>
        </w:r>
        <w:r w:rsidR="00F37F56">
          <w:rPr>
            <w:webHidden/>
          </w:rPr>
          <w:tab/>
        </w:r>
        <w:r w:rsidR="00F37F56">
          <w:rPr>
            <w:webHidden/>
          </w:rPr>
          <w:fldChar w:fldCharType="begin"/>
        </w:r>
        <w:r w:rsidR="00F37F56">
          <w:rPr>
            <w:webHidden/>
          </w:rPr>
          <w:instrText xml:space="preserve"> PAGEREF _Toc448326241 \h </w:instrText>
        </w:r>
        <w:r w:rsidR="00F37F56">
          <w:rPr>
            <w:webHidden/>
          </w:rPr>
        </w:r>
        <w:r w:rsidR="00F37F56">
          <w:rPr>
            <w:webHidden/>
          </w:rPr>
          <w:fldChar w:fldCharType="separate"/>
        </w:r>
        <w:r w:rsidR="00F37F56">
          <w:rPr>
            <w:webHidden/>
          </w:rPr>
          <w:t>7</w:t>
        </w:r>
        <w:r w:rsidR="00F37F56">
          <w:rPr>
            <w:webHidden/>
          </w:rPr>
          <w:fldChar w:fldCharType="end"/>
        </w:r>
      </w:hyperlink>
    </w:p>
    <w:p w14:paraId="75AC0DFA"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2" w:history="1">
        <w:r w:rsidR="00F37F56" w:rsidRPr="00772E19">
          <w:rPr>
            <w:rStyle w:val="Hipervnculo"/>
          </w:rPr>
          <w:t>1.4.</w:t>
        </w:r>
        <w:r w:rsidR="00F37F56">
          <w:rPr>
            <w:rFonts w:asciiTheme="minorHAnsi" w:eastAsiaTheme="minorEastAsia" w:hAnsiTheme="minorHAnsi" w:cstheme="minorBidi"/>
            <w:b w:val="0"/>
            <w:sz w:val="22"/>
            <w:lang w:val="es-419" w:eastAsia="es-419"/>
          </w:rPr>
          <w:tab/>
        </w:r>
        <w:r w:rsidR="00F37F56" w:rsidRPr="00772E19">
          <w:rPr>
            <w:rStyle w:val="Hipervnculo"/>
          </w:rPr>
          <w:t>Aceptación de las Bases Técnicas</w:t>
        </w:r>
        <w:r w:rsidR="00F37F56">
          <w:rPr>
            <w:webHidden/>
          </w:rPr>
          <w:tab/>
        </w:r>
        <w:r w:rsidR="00F37F56">
          <w:rPr>
            <w:webHidden/>
          </w:rPr>
          <w:fldChar w:fldCharType="begin"/>
        </w:r>
        <w:r w:rsidR="00F37F56">
          <w:rPr>
            <w:webHidden/>
          </w:rPr>
          <w:instrText xml:space="preserve"> PAGEREF _Toc448326242 \h </w:instrText>
        </w:r>
        <w:r w:rsidR="00F37F56">
          <w:rPr>
            <w:webHidden/>
          </w:rPr>
        </w:r>
        <w:r w:rsidR="00F37F56">
          <w:rPr>
            <w:webHidden/>
          </w:rPr>
          <w:fldChar w:fldCharType="separate"/>
        </w:r>
        <w:r w:rsidR="00F37F56">
          <w:rPr>
            <w:webHidden/>
          </w:rPr>
          <w:t>7</w:t>
        </w:r>
        <w:r w:rsidR="00F37F56">
          <w:rPr>
            <w:webHidden/>
          </w:rPr>
          <w:fldChar w:fldCharType="end"/>
        </w:r>
      </w:hyperlink>
    </w:p>
    <w:p w14:paraId="64A115CC"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3" w:history="1">
        <w:r w:rsidR="00F37F56" w:rsidRPr="00772E19">
          <w:rPr>
            <w:rStyle w:val="Hipervnculo"/>
          </w:rPr>
          <w:t>1.5.</w:t>
        </w:r>
        <w:r w:rsidR="00F37F56">
          <w:rPr>
            <w:rFonts w:asciiTheme="minorHAnsi" w:eastAsiaTheme="minorEastAsia" w:hAnsiTheme="minorHAnsi" w:cstheme="minorBidi"/>
            <w:b w:val="0"/>
            <w:sz w:val="22"/>
            <w:lang w:val="es-419" w:eastAsia="es-419"/>
          </w:rPr>
          <w:tab/>
        </w:r>
        <w:r w:rsidR="00F37F56" w:rsidRPr="00772E19">
          <w:rPr>
            <w:rStyle w:val="Hipervnculo"/>
          </w:rPr>
          <w:t>Cronograma de Actividades</w:t>
        </w:r>
        <w:r w:rsidR="00F37F56">
          <w:rPr>
            <w:webHidden/>
          </w:rPr>
          <w:tab/>
        </w:r>
        <w:r w:rsidR="00F37F56">
          <w:rPr>
            <w:webHidden/>
          </w:rPr>
          <w:fldChar w:fldCharType="begin"/>
        </w:r>
        <w:r w:rsidR="00F37F56">
          <w:rPr>
            <w:webHidden/>
          </w:rPr>
          <w:instrText xml:space="preserve"> PAGEREF _Toc448326243 \h </w:instrText>
        </w:r>
        <w:r w:rsidR="00F37F56">
          <w:rPr>
            <w:webHidden/>
          </w:rPr>
        </w:r>
        <w:r w:rsidR="00F37F56">
          <w:rPr>
            <w:webHidden/>
          </w:rPr>
          <w:fldChar w:fldCharType="separate"/>
        </w:r>
        <w:r w:rsidR="00F37F56">
          <w:rPr>
            <w:webHidden/>
          </w:rPr>
          <w:t>8</w:t>
        </w:r>
        <w:r w:rsidR="00F37F56">
          <w:rPr>
            <w:webHidden/>
          </w:rPr>
          <w:fldChar w:fldCharType="end"/>
        </w:r>
      </w:hyperlink>
    </w:p>
    <w:p w14:paraId="12CE1532" w14:textId="77777777" w:rsidR="00F37F56" w:rsidRDefault="007032EC">
      <w:pPr>
        <w:pStyle w:val="TDC1"/>
        <w:rPr>
          <w:rFonts w:asciiTheme="minorHAnsi" w:eastAsiaTheme="minorEastAsia" w:hAnsiTheme="minorHAnsi" w:cstheme="minorBidi"/>
          <w:b w:val="0"/>
          <w:caps w:val="0"/>
          <w:noProof/>
          <w:sz w:val="22"/>
          <w:lang w:val="es-419" w:eastAsia="es-419"/>
        </w:rPr>
      </w:pPr>
      <w:hyperlink w:anchor="_Toc448326244" w:history="1">
        <w:r w:rsidR="00F37F56" w:rsidRPr="00772E19">
          <w:rPr>
            <w:rStyle w:val="Hipervnculo"/>
            <w:noProof/>
          </w:rPr>
          <w:t>2.</w:t>
        </w:r>
        <w:r w:rsidR="00F37F56">
          <w:rPr>
            <w:rFonts w:asciiTheme="minorHAnsi" w:eastAsiaTheme="minorEastAsia" w:hAnsiTheme="minorHAnsi" w:cstheme="minorBidi"/>
            <w:b w:val="0"/>
            <w:caps w:val="0"/>
            <w:noProof/>
            <w:sz w:val="22"/>
            <w:lang w:val="es-419" w:eastAsia="es-419"/>
          </w:rPr>
          <w:tab/>
        </w:r>
        <w:r w:rsidR="00F37F56" w:rsidRPr="00772E19">
          <w:rPr>
            <w:rStyle w:val="Hipervnculo"/>
            <w:noProof/>
          </w:rPr>
          <w:t>Etapa de Preparación de las Ofertas Técnicas y Económicas</w:t>
        </w:r>
        <w:r w:rsidR="00F37F56">
          <w:rPr>
            <w:noProof/>
            <w:webHidden/>
          </w:rPr>
          <w:tab/>
        </w:r>
        <w:r w:rsidR="00F37F56">
          <w:rPr>
            <w:noProof/>
            <w:webHidden/>
          </w:rPr>
          <w:fldChar w:fldCharType="begin"/>
        </w:r>
        <w:r w:rsidR="00F37F56">
          <w:rPr>
            <w:noProof/>
            <w:webHidden/>
          </w:rPr>
          <w:instrText xml:space="preserve"> PAGEREF _Toc448326244 \h </w:instrText>
        </w:r>
        <w:r w:rsidR="00F37F56">
          <w:rPr>
            <w:noProof/>
            <w:webHidden/>
          </w:rPr>
        </w:r>
        <w:r w:rsidR="00F37F56">
          <w:rPr>
            <w:noProof/>
            <w:webHidden/>
          </w:rPr>
          <w:fldChar w:fldCharType="separate"/>
        </w:r>
        <w:r w:rsidR="00F37F56">
          <w:rPr>
            <w:noProof/>
            <w:webHidden/>
          </w:rPr>
          <w:t>10</w:t>
        </w:r>
        <w:r w:rsidR="00F37F56">
          <w:rPr>
            <w:noProof/>
            <w:webHidden/>
          </w:rPr>
          <w:fldChar w:fldCharType="end"/>
        </w:r>
      </w:hyperlink>
    </w:p>
    <w:p w14:paraId="070FC9BA"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5" w:history="1">
        <w:r w:rsidR="00F37F56" w:rsidRPr="00772E19">
          <w:rPr>
            <w:rStyle w:val="Hipervnculo"/>
          </w:rPr>
          <w:t>2.1.</w:t>
        </w:r>
        <w:r w:rsidR="00F37F56">
          <w:rPr>
            <w:rFonts w:asciiTheme="minorHAnsi" w:eastAsiaTheme="minorEastAsia" w:hAnsiTheme="minorHAnsi" w:cstheme="minorBidi"/>
            <w:b w:val="0"/>
            <w:sz w:val="22"/>
            <w:lang w:val="es-419" w:eastAsia="es-419"/>
          </w:rPr>
          <w:tab/>
        </w:r>
        <w:r w:rsidR="00F37F56" w:rsidRPr="00772E19">
          <w:rPr>
            <w:rStyle w:val="Hipervnculo"/>
          </w:rPr>
          <w:t>Aprobación y Publicación de las Bases Técnicas</w:t>
        </w:r>
        <w:r w:rsidR="00F37F56">
          <w:rPr>
            <w:webHidden/>
          </w:rPr>
          <w:tab/>
        </w:r>
        <w:r w:rsidR="00F37F56">
          <w:rPr>
            <w:webHidden/>
          </w:rPr>
          <w:fldChar w:fldCharType="begin"/>
        </w:r>
        <w:r w:rsidR="00F37F56">
          <w:rPr>
            <w:webHidden/>
          </w:rPr>
          <w:instrText xml:space="preserve"> PAGEREF _Toc448326245 \h </w:instrText>
        </w:r>
        <w:r w:rsidR="00F37F56">
          <w:rPr>
            <w:webHidden/>
          </w:rPr>
        </w:r>
        <w:r w:rsidR="00F37F56">
          <w:rPr>
            <w:webHidden/>
          </w:rPr>
          <w:fldChar w:fldCharType="separate"/>
        </w:r>
        <w:r w:rsidR="00F37F56">
          <w:rPr>
            <w:webHidden/>
          </w:rPr>
          <w:t>10</w:t>
        </w:r>
        <w:r w:rsidR="00F37F56">
          <w:rPr>
            <w:webHidden/>
          </w:rPr>
          <w:fldChar w:fldCharType="end"/>
        </w:r>
      </w:hyperlink>
    </w:p>
    <w:p w14:paraId="03BA9EA5"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6" w:history="1">
        <w:r w:rsidR="00F37F56" w:rsidRPr="00772E19">
          <w:rPr>
            <w:rStyle w:val="Hipervnculo"/>
          </w:rPr>
          <w:t>2.2.</w:t>
        </w:r>
        <w:r w:rsidR="00F37F56">
          <w:rPr>
            <w:rFonts w:asciiTheme="minorHAnsi" w:eastAsiaTheme="minorEastAsia" w:hAnsiTheme="minorHAnsi" w:cstheme="minorBidi"/>
            <w:b w:val="0"/>
            <w:sz w:val="22"/>
            <w:lang w:val="es-419" w:eastAsia="es-419"/>
          </w:rPr>
          <w:tab/>
        </w:r>
        <w:r w:rsidR="00F37F56" w:rsidRPr="00772E19">
          <w:rPr>
            <w:rStyle w:val="Hipervnculo"/>
          </w:rPr>
          <w:t>Resolución de Apertura del Proceso de Otorgamiento de Un Permiso de Operación</w:t>
        </w:r>
        <w:r w:rsidR="00F37F56">
          <w:rPr>
            <w:webHidden/>
          </w:rPr>
          <w:tab/>
        </w:r>
        <w:r w:rsidR="00F37F56">
          <w:rPr>
            <w:webHidden/>
          </w:rPr>
          <w:fldChar w:fldCharType="begin"/>
        </w:r>
        <w:r w:rsidR="00F37F56">
          <w:rPr>
            <w:webHidden/>
          </w:rPr>
          <w:instrText xml:space="preserve"> PAGEREF _Toc448326246 \h </w:instrText>
        </w:r>
        <w:r w:rsidR="00F37F56">
          <w:rPr>
            <w:webHidden/>
          </w:rPr>
        </w:r>
        <w:r w:rsidR="00F37F56">
          <w:rPr>
            <w:webHidden/>
          </w:rPr>
          <w:fldChar w:fldCharType="separate"/>
        </w:r>
        <w:r w:rsidR="00F37F56">
          <w:rPr>
            <w:webHidden/>
          </w:rPr>
          <w:t>10</w:t>
        </w:r>
        <w:r w:rsidR="00F37F56">
          <w:rPr>
            <w:webHidden/>
          </w:rPr>
          <w:fldChar w:fldCharType="end"/>
        </w:r>
      </w:hyperlink>
    </w:p>
    <w:p w14:paraId="2964CAA7"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7" w:history="1">
        <w:r w:rsidR="00F37F56" w:rsidRPr="00772E19">
          <w:rPr>
            <w:rStyle w:val="Hipervnculo"/>
          </w:rPr>
          <w:t>2.3.</w:t>
        </w:r>
        <w:r w:rsidR="00F37F56">
          <w:rPr>
            <w:rFonts w:asciiTheme="minorHAnsi" w:eastAsiaTheme="minorEastAsia" w:hAnsiTheme="minorHAnsi" w:cstheme="minorBidi"/>
            <w:b w:val="0"/>
            <w:sz w:val="22"/>
            <w:lang w:val="es-419" w:eastAsia="es-419"/>
          </w:rPr>
          <w:tab/>
        </w:r>
        <w:r w:rsidR="00F37F56" w:rsidRPr="00772E19">
          <w:rPr>
            <w:rStyle w:val="Hipervnculo"/>
          </w:rPr>
          <w:t>Consultas y Aclaraciones a las Bases Técnicas</w:t>
        </w:r>
        <w:r w:rsidR="00F37F56">
          <w:rPr>
            <w:webHidden/>
          </w:rPr>
          <w:tab/>
        </w:r>
        <w:r w:rsidR="00F37F56">
          <w:rPr>
            <w:webHidden/>
          </w:rPr>
          <w:fldChar w:fldCharType="begin"/>
        </w:r>
        <w:r w:rsidR="00F37F56">
          <w:rPr>
            <w:webHidden/>
          </w:rPr>
          <w:instrText xml:space="preserve"> PAGEREF _Toc448326247 \h </w:instrText>
        </w:r>
        <w:r w:rsidR="00F37F56">
          <w:rPr>
            <w:webHidden/>
          </w:rPr>
        </w:r>
        <w:r w:rsidR="00F37F56">
          <w:rPr>
            <w:webHidden/>
          </w:rPr>
          <w:fldChar w:fldCharType="separate"/>
        </w:r>
        <w:r w:rsidR="00F37F56">
          <w:rPr>
            <w:webHidden/>
          </w:rPr>
          <w:t>10</w:t>
        </w:r>
        <w:r w:rsidR="00F37F56">
          <w:rPr>
            <w:webHidden/>
          </w:rPr>
          <w:fldChar w:fldCharType="end"/>
        </w:r>
      </w:hyperlink>
    </w:p>
    <w:p w14:paraId="1ABF30AD"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8" w:history="1">
        <w:r w:rsidR="00F37F56" w:rsidRPr="00772E19">
          <w:rPr>
            <w:rStyle w:val="Hipervnculo"/>
          </w:rPr>
          <w:t>2.4.</w:t>
        </w:r>
        <w:r w:rsidR="00F37F56">
          <w:rPr>
            <w:rFonts w:asciiTheme="minorHAnsi" w:eastAsiaTheme="minorEastAsia" w:hAnsiTheme="minorHAnsi" w:cstheme="minorBidi"/>
            <w:b w:val="0"/>
            <w:sz w:val="22"/>
            <w:lang w:val="es-419" w:eastAsia="es-419"/>
          </w:rPr>
          <w:tab/>
        </w:r>
        <w:r w:rsidR="00F37F56" w:rsidRPr="00772E19">
          <w:rPr>
            <w:rStyle w:val="Hipervnculo"/>
          </w:rPr>
          <w:t>Respuesta a las consultas y solicitudes de aclaración</w:t>
        </w:r>
        <w:r w:rsidR="00F37F56">
          <w:rPr>
            <w:webHidden/>
          </w:rPr>
          <w:tab/>
        </w:r>
        <w:r w:rsidR="00F37F56">
          <w:rPr>
            <w:webHidden/>
          </w:rPr>
          <w:fldChar w:fldCharType="begin"/>
        </w:r>
        <w:r w:rsidR="00F37F56">
          <w:rPr>
            <w:webHidden/>
          </w:rPr>
          <w:instrText xml:space="preserve"> PAGEREF _Toc448326248 \h </w:instrText>
        </w:r>
        <w:r w:rsidR="00F37F56">
          <w:rPr>
            <w:webHidden/>
          </w:rPr>
        </w:r>
        <w:r w:rsidR="00F37F56">
          <w:rPr>
            <w:webHidden/>
          </w:rPr>
          <w:fldChar w:fldCharType="separate"/>
        </w:r>
        <w:r w:rsidR="00F37F56">
          <w:rPr>
            <w:webHidden/>
          </w:rPr>
          <w:t>11</w:t>
        </w:r>
        <w:r w:rsidR="00F37F56">
          <w:rPr>
            <w:webHidden/>
          </w:rPr>
          <w:fldChar w:fldCharType="end"/>
        </w:r>
      </w:hyperlink>
    </w:p>
    <w:p w14:paraId="33BB25AE"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49" w:history="1">
        <w:r w:rsidR="00F37F56" w:rsidRPr="00772E19">
          <w:rPr>
            <w:rStyle w:val="Hipervnculo"/>
          </w:rPr>
          <w:t>2.5.</w:t>
        </w:r>
        <w:r w:rsidR="00F37F56">
          <w:rPr>
            <w:rFonts w:asciiTheme="minorHAnsi" w:eastAsiaTheme="minorEastAsia" w:hAnsiTheme="minorHAnsi" w:cstheme="minorBidi"/>
            <w:b w:val="0"/>
            <w:sz w:val="22"/>
            <w:lang w:val="es-419" w:eastAsia="es-419"/>
          </w:rPr>
          <w:tab/>
        </w:r>
        <w:r w:rsidR="00F37F56" w:rsidRPr="00772E19">
          <w:rPr>
            <w:rStyle w:val="Hipervnculo"/>
          </w:rPr>
          <w:t>Preparación de la Oferta</w:t>
        </w:r>
        <w:r w:rsidR="00F37F56">
          <w:rPr>
            <w:webHidden/>
          </w:rPr>
          <w:tab/>
        </w:r>
        <w:r w:rsidR="00F37F56">
          <w:rPr>
            <w:webHidden/>
          </w:rPr>
          <w:fldChar w:fldCharType="begin"/>
        </w:r>
        <w:r w:rsidR="00F37F56">
          <w:rPr>
            <w:webHidden/>
          </w:rPr>
          <w:instrText xml:space="preserve"> PAGEREF _Toc448326249 \h </w:instrText>
        </w:r>
        <w:r w:rsidR="00F37F56">
          <w:rPr>
            <w:webHidden/>
          </w:rPr>
        </w:r>
        <w:r w:rsidR="00F37F56">
          <w:rPr>
            <w:webHidden/>
          </w:rPr>
          <w:fldChar w:fldCharType="separate"/>
        </w:r>
        <w:r w:rsidR="00F37F56">
          <w:rPr>
            <w:webHidden/>
          </w:rPr>
          <w:t>11</w:t>
        </w:r>
        <w:r w:rsidR="00F37F56">
          <w:rPr>
            <w:webHidden/>
          </w:rPr>
          <w:fldChar w:fldCharType="end"/>
        </w:r>
      </w:hyperlink>
    </w:p>
    <w:p w14:paraId="2DA14CF8"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50" w:history="1">
        <w:r w:rsidR="00F37F56" w:rsidRPr="00772E19">
          <w:rPr>
            <w:rStyle w:val="Hipervnculo"/>
          </w:rPr>
          <w:t>2.6.</w:t>
        </w:r>
        <w:r w:rsidR="00F37F56">
          <w:rPr>
            <w:rFonts w:asciiTheme="minorHAnsi" w:eastAsiaTheme="minorEastAsia" w:hAnsiTheme="minorHAnsi" w:cstheme="minorBidi"/>
            <w:b w:val="0"/>
            <w:sz w:val="22"/>
            <w:lang w:val="es-419" w:eastAsia="es-419"/>
          </w:rPr>
          <w:tab/>
        </w:r>
        <w:r w:rsidR="00F37F56" w:rsidRPr="00772E19">
          <w:rPr>
            <w:rStyle w:val="Hipervnculo"/>
          </w:rPr>
          <w:t>Contenido de la Oferta Técnica y Económica</w:t>
        </w:r>
        <w:r w:rsidR="00F37F56">
          <w:rPr>
            <w:webHidden/>
          </w:rPr>
          <w:tab/>
        </w:r>
        <w:r w:rsidR="00F37F56">
          <w:rPr>
            <w:webHidden/>
          </w:rPr>
          <w:fldChar w:fldCharType="begin"/>
        </w:r>
        <w:r w:rsidR="00F37F56">
          <w:rPr>
            <w:webHidden/>
          </w:rPr>
          <w:instrText xml:space="preserve"> PAGEREF _Toc448326250 \h </w:instrText>
        </w:r>
        <w:r w:rsidR="00F37F56">
          <w:rPr>
            <w:webHidden/>
          </w:rPr>
        </w:r>
        <w:r w:rsidR="00F37F56">
          <w:rPr>
            <w:webHidden/>
          </w:rPr>
          <w:fldChar w:fldCharType="separate"/>
        </w:r>
        <w:r w:rsidR="00F37F56">
          <w:rPr>
            <w:webHidden/>
          </w:rPr>
          <w:t>12</w:t>
        </w:r>
        <w:r w:rsidR="00F37F56">
          <w:rPr>
            <w:webHidden/>
          </w:rPr>
          <w:fldChar w:fldCharType="end"/>
        </w:r>
      </w:hyperlink>
    </w:p>
    <w:p w14:paraId="201287E2"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51" w:history="1">
        <w:r w:rsidR="00F37F56" w:rsidRPr="00772E19">
          <w:rPr>
            <w:rStyle w:val="Hipervnculo"/>
          </w:rPr>
          <w:t>2.7.</w:t>
        </w:r>
        <w:r w:rsidR="00F37F56">
          <w:rPr>
            <w:rFonts w:asciiTheme="minorHAnsi" w:eastAsiaTheme="minorEastAsia" w:hAnsiTheme="minorHAnsi" w:cstheme="minorBidi"/>
            <w:b w:val="0"/>
            <w:sz w:val="22"/>
            <w:lang w:val="es-419" w:eastAsia="es-419"/>
          </w:rPr>
          <w:tab/>
        </w:r>
        <w:r w:rsidR="00F37F56" w:rsidRPr="00772E19">
          <w:rPr>
            <w:rStyle w:val="Hipervnculo"/>
          </w:rPr>
          <w:t>Oferta Económica</w:t>
        </w:r>
        <w:r w:rsidR="00F37F56">
          <w:rPr>
            <w:webHidden/>
          </w:rPr>
          <w:tab/>
        </w:r>
        <w:r w:rsidR="00F37F56">
          <w:rPr>
            <w:webHidden/>
          </w:rPr>
          <w:fldChar w:fldCharType="begin"/>
        </w:r>
        <w:r w:rsidR="00F37F56">
          <w:rPr>
            <w:webHidden/>
          </w:rPr>
          <w:instrText xml:space="preserve"> PAGEREF _Toc448326251 \h </w:instrText>
        </w:r>
        <w:r w:rsidR="00F37F56">
          <w:rPr>
            <w:webHidden/>
          </w:rPr>
        </w:r>
        <w:r w:rsidR="00F37F56">
          <w:rPr>
            <w:webHidden/>
          </w:rPr>
          <w:fldChar w:fldCharType="separate"/>
        </w:r>
        <w:r w:rsidR="00F37F56">
          <w:rPr>
            <w:webHidden/>
          </w:rPr>
          <w:t>17</w:t>
        </w:r>
        <w:r w:rsidR="00F37F56">
          <w:rPr>
            <w:webHidden/>
          </w:rPr>
          <w:fldChar w:fldCharType="end"/>
        </w:r>
      </w:hyperlink>
    </w:p>
    <w:p w14:paraId="01F3AF04"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52" w:history="1">
        <w:r w:rsidR="00F37F56" w:rsidRPr="00772E19">
          <w:rPr>
            <w:rStyle w:val="Hipervnculo"/>
          </w:rPr>
          <w:t>2.8.</w:t>
        </w:r>
        <w:r w:rsidR="00F37F56">
          <w:rPr>
            <w:rFonts w:asciiTheme="minorHAnsi" w:eastAsiaTheme="minorEastAsia" w:hAnsiTheme="minorHAnsi" w:cstheme="minorBidi"/>
            <w:b w:val="0"/>
            <w:sz w:val="22"/>
            <w:lang w:val="es-419" w:eastAsia="es-419"/>
          </w:rPr>
          <w:tab/>
        </w:r>
        <w:r w:rsidR="00F37F56" w:rsidRPr="00772E19">
          <w:rPr>
            <w:rStyle w:val="Hipervnculo"/>
          </w:rPr>
          <w:t>Audiencia de Presentación de las Ofertas Técnicas y Económicas</w:t>
        </w:r>
        <w:r w:rsidR="00F37F56">
          <w:rPr>
            <w:webHidden/>
          </w:rPr>
          <w:tab/>
        </w:r>
        <w:r w:rsidR="00F37F56">
          <w:rPr>
            <w:webHidden/>
          </w:rPr>
          <w:fldChar w:fldCharType="begin"/>
        </w:r>
        <w:r w:rsidR="00F37F56">
          <w:rPr>
            <w:webHidden/>
          </w:rPr>
          <w:instrText xml:space="preserve"> PAGEREF _Toc448326252 \h </w:instrText>
        </w:r>
        <w:r w:rsidR="00F37F56">
          <w:rPr>
            <w:webHidden/>
          </w:rPr>
        </w:r>
        <w:r w:rsidR="00F37F56">
          <w:rPr>
            <w:webHidden/>
          </w:rPr>
          <w:fldChar w:fldCharType="separate"/>
        </w:r>
        <w:r w:rsidR="00F37F56">
          <w:rPr>
            <w:webHidden/>
          </w:rPr>
          <w:t>17</w:t>
        </w:r>
        <w:r w:rsidR="00F37F56">
          <w:rPr>
            <w:webHidden/>
          </w:rPr>
          <w:fldChar w:fldCharType="end"/>
        </w:r>
      </w:hyperlink>
    </w:p>
    <w:p w14:paraId="7C8DCB9F" w14:textId="77777777" w:rsidR="00F37F56" w:rsidRDefault="007032EC">
      <w:pPr>
        <w:pStyle w:val="TDC1"/>
        <w:rPr>
          <w:rFonts w:asciiTheme="minorHAnsi" w:eastAsiaTheme="minorEastAsia" w:hAnsiTheme="minorHAnsi" w:cstheme="minorBidi"/>
          <w:b w:val="0"/>
          <w:caps w:val="0"/>
          <w:noProof/>
          <w:sz w:val="22"/>
          <w:lang w:val="es-419" w:eastAsia="es-419"/>
        </w:rPr>
      </w:pPr>
      <w:hyperlink w:anchor="_Toc448326253" w:history="1">
        <w:r w:rsidR="00F37F56" w:rsidRPr="00772E19">
          <w:rPr>
            <w:rStyle w:val="Hipervnculo"/>
            <w:noProof/>
          </w:rPr>
          <w:t>3.</w:t>
        </w:r>
        <w:r w:rsidR="00F37F56">
          <w:rPr>
            <w:rFonts w:asciiTheme="minorHAnsi" w:eastAsiaTheme="minorEastAsia" w:hAnsiTheme="minorHAnsi" w:cstheme="minorBidi"/>
            <w:b w:val="0"/>
            <w:caps w:val="0"/>
            <w:noProof/>
            <w:sz w:val="22"/>
            <w:lang w:val="es-419" w:eastAsia="es-419"/>
          </w:rPr>
          <w:tab/>
        </w:r>
        <w:r w:rsidR="00F37F56" w:rsidRPr="00772E19">
          <w:rPr>
            <w:rStyle w:val="Hipervnculo"/>
            <w:noProof/>
          </w:rPr>
          <w:t>Evaluación de las Ofertas</w:t>
        </w:r>
        <w:r w:rsidR="00F37F56">
          <w:rPr>
            <w:noProof/>
            <w:webHidden/>
          </w:rPr>
          <w:tab/>
        </w:r>
        <w:r w:rsidR="00F37F56">
          <w:rPr>
            <w:noProof/>
            <w:webHidden/>
          </w:rPr>
          <w:fldChar w:fldCharType="begin"/>
        </w:r>
        <w:r w:rsidR="00F37F56">
          <w:rPr>
            <w:noProof/>
            <w:webHidden/>
          </w:rPr>
          <w:instrText xml:space="preserve"> PAGEREF _Toc448326253 \h </w:instrText>
        </w:r>
        <w:r w:rsidR="00F37F56">
          <w:rPr>
            <w:noProof/>
            <w:webHidden/>
          </w:rPr>
        </w:r>
        <w:r w:rsidR="00F37F56">
          <w:rPr>
            <w:noProof/>
            <w:webHidden/>
          </w:rPr>
          <w:fldChar w:fldCharType="separate"/>
        </w:r>
        <w:r w:rsidR="00F37F56">
          <w:rPr>
            <w:noProof/>
            <w:webHidden/>
          </w:rPr>
          <w:t>18</w:t>
        </w:r>
        <w:r w:rsidR="00F37F56">
          <w:rPr>
            <w:noProof/>
            <w:webHidden/>
          </w:rPr>
          <w:fldChar w:fldCharType="end"/>
        </w:r>
      </w:hyperlink>
    </w:p>
    <w:p w14:paraId="66C9822E"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54" w:history="1">
        <w:r w:rsidR="00F37F56" w:rsidRPr="00772E19">
          <w:rPr>
            <w:rStyle w:val="Hipervnculo"/>
          </w:rPr>
          <w:t>3.1.</w:t>
        </w:r>
        <w:r w:rsidR="00F37F56">
          <w:rPr>
            <w:rFonts w:asciiTheme="minorHAnsi" w:eastAsiaTheme="minorEastAsia" w:hAnsiTheme="minorHAnsi" w:cstheme="minorBidi"/>
            <w:b w:val="0"/>
            <w:sz w:val="22"/>
            <w:lang w:val="es-419" w:eastAsia="es-419"/>
          </w:rPr>
          <w:tab/>
        </w:r>
        <w:r w:rsidR="00F37F56" w:rsidRPr="00772E19">
          <w:rPr>
            <w:rStyle w:val="Hipervnculo"/>
          </w:rPr>
          <w:t>Expediente de Evaluación</w:t>
        </w:r>
        <w:r w:rsidR="00F37F56">
          <w:rPr>
            <w:webHidden/>
          </w:rPr>
          <w:tab/>
        </w:r>
        <w:r w:rsidR="00F37F56">
          <w:rPr>
            <w:webHidden/>
          </w:rPr>
          <w:fldChar w:fldCharType="begin"/>
        </w:r>
        <w:r w:rsidR="00F37F56">
          <w:rPr>
            <w:webHidden/>
          </w:rPr>
          <w:instrText xml:space="preserve"> PAGEREF _Toc448326254 \h </w:instrText>
        </w:r>
        <w:r w:rsidR="00F37F56">
          <w:rPr>
            <w:webHidden/>
          </w:rPr>
        </w:r>
        <w:r w:rsidR="00F37F56">
          <w:rPr>
            <w:webHidden/>
          </w:rPr>
          <w:fldChar w:fldCharType="separate"/>
        </w:r>
        <w:r w:rsidR="00F37F56">
          <w:rPr>
            <w:webHidden/>
          </w:rPr>
          <w:t>18</w:t>
        </w:r>
        <w:r w:rsidR="00F37F56">
          <w:rPr>
            <w:webHidden/>
          </w:rPr>
          <w:fldChar w:fldCharType="end"/>
        </w:r>
      </w:hyperlink>
    </w:p>
    <w:p w14:paraId="5B94135F"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55" w:history="1">
        <w:r w:rsidR="00F37F56" w:rsidRPr="00772E19">
          <w:rPr>
            <w:rStyle w:val="Hipervnculo"/>
          </w:rPr>
          <w:t>3.2.</w:t>
        </w:r>
        <w:r w:rsidR="00F37F56">
          <w:rPr>
            <w:rFonts w:asciiTheme="minorHAnsi" w:eastAsiaTheme="minorEastAsia" w:hAnsiTheme="minorHAnsi" w:cstheme="minorBidi"/>
            <w:b w:val="0"/>
            <w:sz w:val="22"/>
            <w:lang w:val="es-419" w:eastAsia="es-419"/>
          </w:rPr>
          <w:tab/>
        </w:r>
        <w:r w:rsidR="00F37F56" w:rsidRPr="00772E19">
          <w:rPr>
            <w:rStyle w:val="Hipervnculo"/>
          </w:rPr>
          <w:t>Comité Técnico de Evaluación</w:t>
        </w:r>
        <w:r w:rsidR="00F37F56">
          <w:rPr>
            <w:webHidden/>
          </w:rPr>
          <w:tab/>
        </w:r>
        <w:r w:rsidR="00F37F56">
          <w:rPr>
            <w:webHidden/>
          </w:rPr>
          <w:fldChar w:fldCharType="begin"/>
        </w:r>
        <w:r w:rsidR="00F37F56">
          <w:rPr>
            <w:webHidden/>
          </w:rPr>
          <w:instrText xml:space="preserve"> PAGEREF _Toc448326255 \h </w:instrText>
        </w:r>
        <w:r w:rsidR="00F37F56">
          <w:rPr>
            <w:webHidden/>
          </w:rPr>
        </w:r>
        <w:r w:rsidR="00F37F56">
          <w:rPr>
            <w:webHidden/>
          </w:rPr>
          <w:fldChar w:fldCharType="separate"/>
        </w:r>
        <w:r w:rsidR="00F37F56">
          <w:rPr>
            <w:webHidden/>
          </w:rPr>
          <w:t>18</w:t>
        </w:r>
        <w:r w:rsidR="00F37F56">
          <w:rPr>
            <w:webHidden/>
          </w:rPr>
          <w:fldChar w:fldCharType="end"/>
        </w:r>
      </w:hyperlink>
    </w:p>
    <w:p w14:paraId="5AB81C98"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56" w:history="1">
        <w:r w:rsidR="00F37F56" w:rsidRPr="00772E19">
          <w:rPr>
            <w:rStyle w:val="Hipervnculo"/>
          </w:rPr>
          <w:t>3.3.</w:t>
        </w:r>
        <w:r w:rsidR="00F37F56">
          <w:rPr>
            <w:rFonts w:asciiTheme="minorHAnsi" w:eastAsiaTheme="minorEastAsia" w:hAnsiTheme="minorHAnsi" w:cstheme="minorBidi"/>
            <w:b w:val="0"/>
            <w:sz w:val="22"/>
            <w:lang w:val="es-419" w:eastAsia="es-419"/>
          </w:rPr>
          <w:tab/>
        </w:r>
        <w:r w:rsidR="00F37F56" w:rsidRPr="00772E19">
          <w:rPr>
            <w:rStyle w:val="Hipervnculo"/>
          </w:rPr>
          <w:t>Revisión de la presentación de los Antecedentes</w:t>
        </w:r>
        <w:r w:rsidR="00F37F56">
          <w:rPr>
            <w:webHidden/>
          </w:rPr>
          <w:tab/>
        </w:r>
        <w:r w:rsidR="00F37F56">
          <w:rPr>
            <w:webHidden/>
          </w:rPr>
          <w:fldChar w:fldCharType="begin"/>
        </w:r>
        <w:r w:rsidR="00F37F56">
          <w:rPr>
            <w:webHidden/>
          </w:rPr>
          <w:instrText xml:space="preserve"> PAGEREF _Toc448326256 \h </w:instrText>
        </w:r>
        <w:r w:rsidR="00F37F56">
          <w:rPr>
            <w:webHidden/>
          </w:rPr>
        </w:r>
        <w:r w:rsidR="00F37F56">
          <w:rPr>
            <w:webHidden/>
          </w:rPr>
          <w:fldChar w:fldCharType="separate"/>
        </w:r>
        <w:r w:rsidR="00F37F56">
          <w:rPr>
            <w:webHidden/>
          </w:rPr>
          <w:t>18</w:t>
        </w:r>
        <w:r w:rsidR="00F37F56">
          <w:rPr>
            <w:webHidden/>
          </w:rPr>
          <w:fldChar w:fldCharType="end"/>
        </w:r>
      </w:hyperlink>
    </w:p>
    <w:p w14:paraId="642DE170"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57" w:history="1">
        <w:r w:rsidR="00F37F56" w:rsidRPr="00772E19">
          <w:rPr>
            <w:rStyle w:val="Hipervnculo"/>
          </w:rPr>
          <w:t>3.4.</w:t>
        </w:r>
        <w:r w:rsidR="00F37F56">
          <w:rPr>
            <w:rFonts w:asciiTheme="minorHAnsi" w:eastAsiaTheme="minorEastAsia" w:hAnsiTheme="minorHAnsi" w:cstheme="minorBidi"/>
            <w:b w:val="0"/>
            <w:sz w:val="22"/>
            <w:lang w:val="es-419" w:eastAsia="es-419"/>
          </w:rPr>
          <w:tab/>
        </w:r>
        <w:r w:rsidR="00F37F56" w:rsidRPr="00772E19">
          <w:rPr>
            <w:rStyle w:val="Hipervnculo"/>
          </w:rPr>
          <w:t>Revisión de las condiciones para continuar con el proceso de Evaluación</w:t>
        </w:r>
        <w:r w:rsidR="00F37F56">
          <w:rPr>
            <w:webHidden/>
          </w:rPr>
          <w:tab/>
        </w:r>
        <w:r w:rsidR="00F37F56">
          <w:rPr>
            <w:webHidden/>
          </w:rPr>
          <w:fldChar w:fldCharType="begin"/>
        </w:r>
        <w:r w:rsidR="00F37F56">
          <w:rPr>
            <w:webHidden/>
          </w:rPr>
          <w:instrText xml:space="preserve"> PAGEREF _Toc448326257 \h </w:instrText>
        </w:r>
        <w:r w:rsidR="00F37F56">
          <w:rPr>
            <w:webHidden/>
          </w:rPr>
        </w:r>
        <w:r w:rsidR="00F37F56">
          <w:rPr>
            <w:webHidden/>
          </w:rPr>
          <w:fldChar w:fldCharType="separate"/>
        </w:r>
        <w:r w:rsidR="00F37F56">
          <w:rPr>
            <w:webHidden/>
          </w:rPr>
          <w:t>19</w:t>
        </w:r>
        <w:r w:rsidR="00F37F56">
          <w:rPr>
            <w:webHidden/>
          </w:rPr>
          <w:fldChar w:fldCharType="end"/>
        </w:r>
      </w:hyperlink>
    </w:p>
    <w:p w14:paraId="4F2E66F2"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58" w:history="1">
        <w:r w:rsidR="00F37F56" w:rsidRPr="00772E19">
          <w:rPr>
            <w:rStyle w:val="Hipervnculo"/>
          </w:rPr>
          <w:t>3.4.1.</w:t>
        </w:r>
        <w:r w:rsidR="00F37F56">
          <w:rPr>
            <w:rFonts w:asciiTheme="minorHAnsi" w:eastAsiaTheme="minorEastAsia" w:hAnsiTheme="minorHAnsi" w:cstheme="minorBidi"/>
            <w:sz w:val="22"/>
            <w:lang w:val="es-419" w:eastAsia="es-419"/>
          </w:rPr>
          <w:tab/>
        </w:r>
        <w:r w:rsidR="00F37F56" w:rsidRPr="00772E19">
          <w:rPr>
            <w:rStyle w:val="Hipervnculo"/>
          </w:rPr>
          <w:t>Verificación del cumplimiento de los requisitos legales y reglamentarios</w:t>
        </w:r>
        <w:r w:rsidR="00F37F56">
          <w:rPr>
            <w:webHidden/>
          </w:rPr>
          <w:tab/>
        </w:r>
        <w:r w:rsidR="00F37F56">
          <w:rPr>
            <w:webHidden/>
          </w:rPr>
          <w:fldChar w:fldCharType="begin"/>
        </w:r>
        <w:r w:rsidR="00F37F56">
          <w:rPr>
            <w:webHidden/>
          </w:rPr>
          <w:instrText xml:space="preserve"> PAGEREF _Toc448326258 \h </w:instrText>
        </w:r>
        <w:r w:rsidR="00F37F56">
          <w:rPr>
            <w:webHidden/>
          </w:rPr>
        </w:r>
        <w:r w:rsidR="00F37F56">
          <w:rPr>
            <w:webHidden/>
          </w:rPr>
          <w:fldChar w:fldCharType="separate"/>
        </w:r>
        <w:r w:rsidR="00F37F56">
          <w:rPr>
            <w:webHidden/>
          </w:rPr>
          <w:t>19</w:t>
        </w:r>
        <w:r w:rsidR="00F37F56">
          <w:rPr>
            <w:webHidden/>
          </w:rPr>
          <w:fldChar w:fldCharType="end"/>
        </w:r>
      </w:hyperlink>
    </w:p>
    <w:p w14:paraId="423022E9"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59" w:history="1">
        <w:r w:rsidR="00F37F56" w:rsidRPr="00772E19">
          <w:rPr>
            <w:rStyle w:val="Hipervnculo"/>
          </w:rPr>
          <w:t>3.4.2.</w:t>
        </w:r>
        <w:r w:rsidR="00F37F56">
          <w:rPr>
            <w:rFonts w:asciiTheme="minorHAnsi" w:eastAsiaTheme="minorEastAsia" w:hAnsiTheme="minorHAnsi" w:cstheme="minorBidi"/>
            <w:sz w:val="22"/>
            <w:lang w:val="es-419" w:eastAsia="es-419"/>
          </w:rPr>
          <w:tab/>
        </w:r>
        <w:r w:rsidR="00F37F56" w:rsidRPr="00772E19">
          <w:rPr>
            <w:rStyle w:val="Hipervnculo"/>
          </w:rPr>
          <w:t>Cumplimiento de las Condiciones Especiales.</w:t>
        </w:r>
        <w:r w:rsidR="00F37F56">
          <w:rPr>
            <w:webHidden/>
          </w:rPr>
          <w:tab/>
        </w:r>
        <w:r w:rsidR="00F37F56">
          <w:rPr>
            <w:webHidden/>
          </w:rPr>
          <w:fldChar w:fldCharType="begin"/>
        </w:r>
        <w:r w:rsidR="00F37F56">
          <w:rPr>
            <w:webHidden/>
          </w:rPr>
          <w:instrText xml:space="preserve"> PAGEREF _Toc448326259 \h </w:instrText>
        </w:r>
        <w:r w:rsidR="00F37F56">
          <w:rPr>
            <w:webHidden/>
          </w:rPr>
        </w:r>
        <w:r w:rsidR="00F37F56">
          <w:rPr>
            <w:webHidden/>
          </w:rPr>
          <w:fldChar w:fldCharType="separate"/>
        </w:r>
        <w:r w:rsidR="00F37F56">
          <w:rPr>
            <w:webHidden/>
          </w:rPr>
          <w:t>21</w:t>
        </w:r>
        <w:r w:rsidR="00F37F56">
          <w:rPr>
            <w:webHidden/>
          </w:rPr>
          <w:fldChar w:fldCharType="end"/>
        </w:r>
      </w:hyperlink>
    </w:p>
    <w:p w14:paraId="4BB82C0C"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60" w:history="1">
        <w:r w:rsidR="00F37F56" w:rsidRPr="00772E19">
          <w:rPr>
            <w:rStyle w:val="Hipervnculo"/>
          </w:rPr>
          <w:t>3.5.</w:t>
        </w:r>
        <w:r w:rsidR="00F37F56">
          <w:rPr>
            <w:rFonts w:asciiTheme="minorHAnsi" w:eastAsiaTheme="minorEastAsia" w:hAnsiTheme="minorHAnsi" w:cstheme="minorBidi"/>
            <w:b w:val="0"/>
            <w:sz w:val="22"/>
            <w:lang w:val="es-419" w:eastAsia="es-419"/>
          </w:rPr>
          <w:tab/>
        </w:r>
        <w:r w:rsidR="00F37F56" w:rsidRPr="00772E19">
          <w:rPr>
            <w:rStyle w:val="Hipervnculo"/>
          </w:rPr>
          <w:t>Evaluación del Origen y Suficiencia de los Fondos</w:t>
        </w:r>
        <w:r w:rsidR="00F37F56">
          <w:rPr>
            <w:webHidden/>
          </w:rPr>
          <w:tab/>
        </w:r>
        <w:r w:rsidR="00F37F56">
          <w:rPr>
            <w:webHidden/>
          </w:rPr>
          <w:fldChar w:fldCharType="begin"/>
        </w:r>
        <w:r w:rsidR="00F37F56">
          <w:rPr>
            <w:webHidden/>
          </w:rPr>
          <w:instrText xml:space="preserve"> PAGEREF _Toc448326260 \h </w:instrText>
        </w:r>
        <w:r w:rsidR="00F37F56">
          <w:rPr>
            <w:webHidden/>
          </w:rPr>
        </w:r>
        <w:r w:rsidR="00F37F56">
          <w:rPr>
            <w:webHidden/>
          </w:rPr>
          <w:fldChar w:fldCharType="separate"/>
        </w:r>
        <w:r w:rsidR="00F37F56">
          <w:rPr>
            <w:webHidden/>
          </w:rPr>
          <w:t>22</w:t>
        </w:r>
        <w:r w:rsidR="00F37F56">
          <w:rPr>
            <w:webHidden/>
          </w:rPr>
          <w:fldChar w:fldCharType="end"/>
        </w:r>
      </w:hyperlink>
    </w:p>
    <w:p w14:paraId="737E954F"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61" w:history="1">
        <w:r w:rsidR="00F37F56" w:rsidRPr="00772E19">
          <w:rPr>
            <w:rStyle w:val="Hipervnculo"/>
          </w:rPr>
          <w:t>3.6.</w:t>
        </w:r>
        <w:r w:rsidR="00F37F56">
          <w:rPr>
            <w:rFonts w:asciiTheme="minorHAnsi" w:eastAsiaTheme="minorEastAsia" w:hAnsiTheme="minorHAnsi" w:cstheme="minorBidi"/>
            <w:b w:val="0"/>
            <w:sz w:val="22"/>
            <w:lang w:val="es-419" w:eastAsia="es-419"/>
          </w:rPr>
          <w:tab/>
        </w:r>
        <w:r w:rsidR="00F37F56" w:rsidRPr="00772E19">
          <w:rPr>
            <w:rStyle w:val="Hipervnculo"/>
          </w:rPr>
          <w:t>Evaluación DE LAS OFERTAS TécnicaS</w:t>
        </w:r>
        <w:r w:rsidR="00F37F56">
          <w:rPr>
            <w:webHidden/>
          </w:rPr>
          <w:tab/>
        </w:r>
        <w:r w:rsidR="00F37F56">
          <w:rPr>
            <w:webHidden/>
          </w:rPr>
          <w:fldChar w:fldCharType="begin"/>
        </w:r>
        <w:r w:rsidR="00F37F56">
          <w:rPr>
            <w:webHidden/>
          </w:rPr>
          <w:instrText xml:space="preserve"> PAGEREF _Toc448326261 \h </w:instrText>
        </w:r>
        <w:r w:rsidR="00F37F56">
          <w:rPr>
            <w:webHidden/>
          </w:rPr>
        </w:r>
        <w:r w:rsidR="00F37F56">
          <w:rPr>
            <w:webHidden/>
          </w:rPr>
          <w:fldChar w:fldCharType="separate"/>
        </w:r>
        <w:r w:rsidR="00F37F56">
          <w:rPr>
            <w:webHidden/>
          </w:rPr>
          <w:t>22</w:t>
        </w:r>
        <w:r w:rsidR="00F37F56">
          <w:rPr>
            <w:webHidden/>
          </w:rPr>
          <w:fldChar w:fldCharType="end"/>
        </w:r>
      </w:hyperlink>
    </w:p>
    <w:p w14:paraId="5A32E671"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62" w:history="1">
        <w:r w:rsidR="00F37F56" w:rsidRPr="00772E19">
          <w:rPr>
            <w:rStyle w:val="Hipervnculo"/>
          </w:rPr>
          <w:t>3.6.1.</w:t>
        </w:r>
        <w:r w:rsidR="00F37F56">
          <w:rPr>
            <w:rFonts w:asciiTheme="minorHAnsi" w:eastAsiaTheme="minorEastAsia" w:hAnsiTheme="minorHAnsi" w:cstheme="minorBidi"/>
            <w:sz w:val="22"/>
            <w:lang w:val="es-419" w:eastAsia="es-419"/>
          </w:rPr>
          <w:tab/>
        </w:r>
        <w:r w:rsidR="00F37F56" w:rsidRPr="00772E19">
          <w:rPr>
            <w:rStyle w:val="Hipervnculo"/>
          </w:rPr>
          <w:t>Inversión Mínima</w:t>
        </w:r>
        <w:r w:rsidR="00F37F56">
          <w:rPr>
            <w:webHidden/>
          </w:rPr>
          <w:tab/>
        </w:r>
        <w:r w:rsidR="00F37F56">
          <w:rPr>
            <w:webHidden/>
          </w:rPr>
          <w:fldChar w:fldCharType="begin"/>
        </w:r>
        <w:r w:rsidR="00F37F56">
          <w:rPr>
            <w:webHidden/>
          </w:rPr>
          <w:instrText xml:space="preserve"> PAGEREF _Toc448326262 \h </w:instrText>
        </w:r>
        <w:r w:rsidR="00F37F56">
          <w:rPr>
            <w:webHidden/>
          </w:rPr>
        </w:r>
        <w:r w:rsidR="00F37F56">
          <w:rPr>
            <w:webHidden/>
          </w:rPr>
          <w:fldChar w:fldCharType="separate"/>
        </w:r>
        <w:r w:rsidR="00F37F56">
          <w:rPr>
            <w:webHidden/>
          </w:rPr>
          <w:t>23</w:t>
        </w:r>
        <w:r w:rsidR="00F37F56">
          <w:rPr>
            <w:webHidden/>
          </w:rPr>
          <w:fldChar w:fldCharType="end"/>
        </w:r>
      </w:hyperlink>
    </w:p>
    <w:p w14:paraId="6DBF68DF"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63" w:history="1">
        <w:r w:rsidR="00F37F56" w:rsidRPr="00772E19">
          <w:rPr>
            <w:rStyle w:val="Hipervnculo"/>
          </w:rPr>
          <w:t>3.7.</w:t>
        </w:r>
        <w:r w:rsidR="00F37F56">
          <w:rPr>
            <w:rFonts w:asciiTheme="minorHAnsi" w:eastAsiaTheme="minorEastAsia" w:hAnsiTheme="minorHAnsi" w:cstheme="minorBidi"/>
            <w:b w:val="0"/>
            <w:sz w:val="22"/>
            <w:lang w:val="es-419" w:eastAsia="es-419"/>
          </w:rPr>
          <w:tab/>
        </w:r>
        <w:r w:rsidR="00F37F56" w:rsidRPr="00772E19">
          <w:rPr>
            <w:rStyle w:val="Hipervnculo"/>
          </w:rPr>
          <w:t>Antecedentes Adicionales</w:t>
        </w:r>
        <w:r w:rsidR="00F37F56">
          <w:rPr>
            <w:webHidden/>
          </w:rPr>
          <w:tab/>
        </w:r>
        <w:r w:rsidR="00F37F56">
          <w:rPr>
            <w:webHidden/>
          </w:rPr>
          <w:fldChar w:fldCharType="begin"/>
        </w:r>
        <w:r w:rsidR="00F37F56">
          <w:rPr>
            <w:webHidden/>
          </w:rPr>
          <w:instrText xml:space="preserve"> PAGEREF _Toc448326263 \h </w:instrText>
        </w:r>
        <w:r w:rsidR="00F37F56">
          <w:rPr>
            <w:webHidden/>
          </w:rPr>
        </w:r>
        <w:r w:rsidR="00F37F56">
          <w:rPr>
            <w:webHidden/>
          </w:rPr>
          <w:fldChar w:fldCharType="separate"/>
        </w:r>
        <w:r w:rsidR="00F37F56">
          <w:rPr>
            <w:webHidden/>
          </w:rPr>
          <w:t>23</w:t>
        </w:r>
        <w:r w:rsidR="00F37F56">
          <w:rPr>
            <w:webHidden/>
          </w:rPr>
          <w:fldChar w:fldCharType="end"/>
        </w:r>
      </w:hyperlink>
    </w:p>
    <w:p w14:paraId="63271B76"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64" w:history="1">
        <w:r w:rsidR="00F37F56" w:rsidRPr="00772E19">
          <w:rPr>
            <w:rStyle w:val="Hipervnculo"/>
          </w:rPr>
          <w:t>3.7.1.</w:t>
        </w:r>
        <w:r w:rsidR="00F37F56">
          <w:rPr>
            <w:rFonts w:asciiTheme="minorHAnsi" w:eastAsiaTheme="minorEastAsia" w:hAnsiTheme="minorHAnsi" w:cstheme="minorBidi"/>
            <w:sz w:val="22"/>
            <w:lang w:val="es-419" w:eastAsia="es-419"/>
          </w:rPr>
          <w:tab/>
        </w:r>
        <w:r w:rsidR="00F37F56" w:rsidRPr="00772E19">
          <w:rPr>
            <w:rStyle w:val="Hipervnculo"/>
          </w:rPr>
          <w:t>Informes de otros Organismos públicos y privados</w:t>
        </w:r>
        <w:r w:rsidR="00F37F56">
          <w:rPr>
            <w:webHidden/>
          </w:rPr>
          <w:tab/>
        </w:r>
        <w:r w:rsidR="00F37F56">
          <w:rPr>
            <w:webHidden/>
          </w:rPr>
          <w:fldChar w:fldCharType="begin"/>
        </w:r>
        <w:r w:rsidR="00F37F56">
          <w:rPr>
            <w:webHidden/>
          </w:rPr>
          <w:instrText xml:space="preserve"> PAGEREF _Toc448326264 \h </w:instrText>
        </w:r>
        <w:r w:rsidR="00F37F56">
          <w:rPr>
            <w:webHidden/>
          </w:rPr>
        </w:r>
        <w:r w:rsidR="00F37F56">
          <w:rPr>
            <w:webHidden/>
          </w:rPr>
          <w:fldChar w:fldCharType="separate"/>
        </w:r>
        <w:r w:rsidR="00F37F56">
          <w:rPr>
            <w:webHidden/>
          </w:rPr>
          <w:t>24</w:t>
        </w:r>
        <w:r w:rsidR="00F37F56">
          <w:rPr>
            <w:webHidden/>
          </w:rPr>
          <w:fldChar w:fldCharType="end"/>
        </w:r>
      </w:hyperlink>
    </w:p>
    <w:p w14:paraId="6E555FCC"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65" w:history="1">
        <w:r w:rsidR="00F37F56" w:rsidRPr="00772E19">
          <w:rPr>
            <w:rStyle w:val="Hipervnculo"/>
          </w:rPr>
          <w:t>3.8.</w:t>
        </w:r>
        <w:r w:rsidR="00F37F56">
          <w:rPr>
            <w:rFonts w:asciiTheme="minorHAnsi" w:eastAsiaTheme="minorEastAsia" w:hAnsiTheme="minorHAnsi" w:cstheme="minorBidi"/>
            <w:b w:val="0"/>
            <w:sz w:val="22"/>
            <w:lang w:val="es-419" w:eastAsia="es-419"/>
          </w:rPr>
          <w:tab/>
        </w:r>
        <w:r w:rsidR="00F37F56" w:rsidRPr="00772E19">
          <w:rPr>
            <w:rStyle w:val="Hipervnculo"/>
          </w:rPr>
          <w:t>Resultado de la Evaluación</w:t>
        </w:r>
        <w:r w:rsidR="00F37F56">
          <w:rPr>
            <w:webHidden/>
          </w:rPr>
          <w:tab/>
        </w:r>
        <w:r w:rsidR="00F37F56">
          <w:rPr>
            <w:webHidden/>
          </w:rPr>
          <w:fldChar w:fldCharType="begin"/>
        </w:r>
        <w:r w:rsidR="00F37F56">
          <w:rPr>
            <w:webHidden/>
          </w:rPr>
          <w:instrText xml:space="preserve"> PAGEREF _Toc448326265 \h </w:instrText>
        </w:r>
        <w:r w:rsidR="00F37F56">
          <w:rPr>
            <w:webHidden/>
          </w:rPr>
        </w:r>
        <w:r w:rsidR="00F37F56">
          <w:rPr>
            <w:webHidden/>
          </w:rPr>
          <w:fldChar w:fldCharType="separate"/>
        </w:r>
        <w:r w:rsidR="00F37F56">
          <w:rPr>
            <w:webHidden/>
          </w:rPr>
          <w:t>24</w:t>
        </w:r>
        <w:r w:rsidR="00F37F56">
          <w:rPr>
            <w:webHidden/>
          </w:rPr>
          <w:fldChar w:fldCharType="end"/>
        </w:r>
      </w:hyperlink>
    </w:p>
    <w:p w14:paraId="5C48FE75"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66" w:history="1">
        <w:r w:rsidR="00F37F56" w:rsidRPr="00772E19">
          <w:rPr>
            <w:rStyle w:val="Hipervnculo"/>
          </w:rPr>
          <w:t>3.8.1.</w:t>
        </w:r>
        <w:r w:rsidR="00F37F56">
          <w:rPr>
            <w:rFonts w:asciiTheme="minorHAnsi" w:eastAsiaTheme="minorEastAsia" w:hAnsiTheme="minorHAnsi" w:cstheme="minorBidi"/>
            <w:sz w:val="22"/>
            <w:lang w:val="es-419" w:eastAsia="es-419"/>
          </w:rPr>
          <w:tab/>
        </w:r>
        <w:r w:rsidR="00F37F56" w:rsidRPr="00772E19">
          <w:rPr>
            <w:rStyle w:val="Hipervnculo"/>
          </w:rPr>
          <w:t>Proposición y pronunciamiento del l Consejo Resolutivo</w:t>
        </w:r>
        <w:r w:rsidR="00F37F56">
          <w:rPr>
            <w:webHidden/>
          </w:rPr>
          <w:tab/>
        </w:r>
        <w:r w:rsidR="00F37F56">
          <w:rPr>
            <w:webHidden/>
          </w:rPr>
          <w:fldChar w:fldCharType="begin"/>
        </w:r>
        <w:r w:rsidR="00F37F56">
          <w:rPr>
            <w:webHidden/>
          </w:rPr>
          <w:instrText xml:space="preserve"> PAGEREF _Toc448326266 \h </w:instrText>
        </w:r>
        <w:r w:rsidR="00F37F56">
          <w:rPr>
            <w:webHidden/>
          </w:rPr>
        </w:r>
        <w:r w:rsidR="00F37F56">
          <w:rPr>
            <w:webHidden/>
          </w:rPr>
          <w:fldChar w:fldCharType="separate"/>
        </w:r>
        <w:r w:rsidR="00F37F56">
          <w:rPr>
            <w:webHidden/>
          </w:rPr>
          <w:t>24</w:t>
        </w:r>
        <w:r w:rsidR="00F37F56">
          <w:rPr>
            <w:webHidden/>
          </w:rPr>
          <w:fldChar w:fldCharType="end"/>
        </w:r>
      </w:hyperlink>
    </w:p>
    <w:p w14:paraId="7756B753"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67" w:history="1">
        <w:r w:rsidR="00F37F56" w:rsidRPr="00772E19">
          <w:rPr>
            <w:rStyle w:val="Hipervnculo"/>
          </w:rPr>
          <w:t>3.8.2.</w:t>
        </w:r>
        <w:r w:rsidR="00F37F56">
          <w:rPr>
            <w:rFonts w:asciiTheme="minorHAnsi" w:eastAsiaTheme="minorEastAsia" w:hAnsiTheme="minorHAnsi" w:cstheme="minorBidi"/>
            <w:sz w:val="22"/>
            <w:lang w:val="es-419" w:eastAsia="es-419"/>
          </w:rPr>
          <w:tab/>
        </w:r>
        <w:r w:rsidR="00F37F56" w:rsidRPr="00772E19">
          <w:rPr>
            <w:rStyle w:val="Hipervnculo"/>
          </w:rPr>
          <w:t>Respuesta observaciones del Consejo Resolutivo</w:t>
        </w:r>
        <w:r w:rsidR="00F37F56">
          <w:rPr>
            <w:webHidden/>
          </w:rPr>
          <w:tab/>
        </w:r>
        <w:r w:rsidR="00F37F56">
          <w:rPr>
            <w:webHidden/>
          </w:rPr>
          <w:fldChar w:fldCharType="begin"/>
        </w:r>
        <w:r w:rsidR="00F37F56">
          <w:rPr>
            <w:webHidden/>
          </w:rPr>
          <w:instrText xml:space="preserve"> PAGEREF _Toc448326267 \h </w:instrText>
        </w:r>
        <w:r w:rsidR="00F37F56">
          <w:rPr>
            <w:webHidden/>
          </w:rPr>
        </w:r>
        <w:r w:rsidR="00F37F56">
          <w:rPr>
            <w:webHidden/>
          </w:rPr>
          <w:fldChar w:fldCharType="separate"/>
        </w:r>
        <w:r w:rsidR="00F37F56">
          <w:rPr>
            <w:webHidden/>
          </w:rPr>
          <w:t>24</w:t>
        </w:r>
        <w:r w:rsidR="00F37F56">
          <w:rPr>
            <w:webHidden/>
          </w:rPr>
          <w:fldChar w:fldCharType="end"/>
        </w:r>
      </w:hyperlink>
    </w:p>
    <w:p w14:paraId="54C3EFC6" w14:textId="77777777" w:rsidR="00F37F56" w:rsidRDefault="007032EC">
      <w:pPr>
        <w:pStyle w:val="TDC3"/>
        <w:tabs>
          <w:tab w:val="left" w:pos="1400"/>
          <w:tab w:val="right" w:leader="dot" w:pos="9396"/>
        </w:tabs>
        <w:rPr>
          <w:rFonts w:asciiTheme="minorHAnsi" w:eastAsiaTheme="minorEastAsia" w:hAnsiTheme="minorHAnsi" w:cstheme="minorBidi"/>
          <w:sz w:val="22"/>
          <w:lang w:val="es-419" w:eastAsia="es-419"/>
        </w:rPr>
      </w:pPr>
      <w:hyperlink w:anchor="_Toc448326268" w:history="1">
        <w:r w:rsidR="00F37F56" w:rsidRPr="00772E19">
          <w:rPr>
            <w:rStyle w:val="Hipervnculo"/>
          </w:rPr>
          <w:t>3.8.3.</w:t>
        </w:r>
        <w:r w:rsidR="00F37F56">
          <w:rPr>
            <w:rFonts w:asciiTheme="minorHAnsi" w:eastAsiaTheme="minorEastAsia" w:hAnsiTheme="minorHAnsi" w:cstheme="minorBidi"/>
            <w:sz w:val="22"/>
            <w:lang w:val="es-419" w:eastAsia="es-419"/>
          </w:rPr>
          <w:tab/>
        </w:r>
        <w:r w:rsidR="00F37F56" w:rsidRPr="00772E19">
          <w:rPr>
            <w:rStyle w:val="Hipervnculo"/>
          </w:rPr>
          <w:t>Resolución de Evaluación de las Ofertas</w:t>
        </w:r>
        <w:r w:rsidR="00F37F56">
          <w:rPr>
            <w:webHidden/>
          </w:rPr>
          <w:tab/>
        </w:r>
        <w:r w:rsidR="00F37F56">
          <w:rPr>
            <w:webHidden/>
          </w:rPr>
          <w:fldChar w:fldCharType="begin"/>
        </w:r>
        <w:r w:rsidR="00F37F56">
          <w:rPr>
            <w:webHidden/>
          </w:rPr>
          <w:instrText xml:space="preserve"> PAGEREF _Toc448326268 \h </w:instrText>
        </w:r>
        <w:r w:rsidR="00F37F56">
          <w:rPr>
            <w:webHidden/>
          </w:rPr>
        </w:r>
        <w:r w:rsidR="00F37F56">
          <w:rPr>
            <w:webHidden/>
          </w:rPr>
          <w:fldChar w:fldCharType="separate"/>
        </w:r>
        <w:r w:rsidR="00F37F56">
          <w:rPr>
            <w:webHidden/>
          </w:rPr>
          <w:t>24</w:t>
        </w:r>
        <w:r w:rsidR="00F37F56">
          <w:rPr>
            <w:webHidden/>
          </w:rPr>
          <w:fldChar w:fldCharType="end"/>
        </w:r>
      </w:hyperlink>
    </w:p>
    <w:p w14:paraId="7BD26C3F" w14:textId="77777777" w:rsidR="00F37F56" w:rsidRDefault="007032EC">
      <w:pPr>
        <w:pStyle w:val="TDC1"/>
        <w:rPr>
          <w:rFonts w:asciiTheme="minorHAnsi" w:eastAsiaTheme="minorEastAsia" w:hAnsiTheme="minorHAnsi" w:cstheme="minorBidi"/>
          <w:b w:val="0"/>
          <w:caps w:val="0"/>
          <w:noProof/>
          <w:sz w:val="22"/>
          <w:lang w:val="es-419" w:eastAsia="es-419"/>
        </w:rPr>
      </w:pPr>
      <w:hyperlink w:anchor="_Toc448326269" w:history="1">
        <w:r w:rsidR="00F37F56" w:rsidRPr="00772E19">
          <w:rPr>
            <w:rStyle w:val="Hipervnculo"/>
            <w:noProof/>
          </w:rPr>
          <w:t>4.</w:t>
        </w:r>
        <w:r w:rsidR="00F37F56">
          <w:rPr>
            <w:rFonts w:asciiTheme="minorHAnsi" w:eastAsiaTheme="minorEastAsia" w:hAnsiTheme="minorHAnsi" w:cstheme="minorBidi"/>
            <w:b w:val="0"/>
            <w:caps w:val="0"/>
            <w:noProof/>
            <w:sz w:val="22"/>
            <w:lang w:val="es-419" w:eastAsia="es-419"/>
          </w:rPr>
          <w:tab/>
        </w:r>
        <w:r w:rsidR="00F37F56" w:rsidRPr="00772E19">
          <w:rPr>
            <w:rStyle w:val="Hipervnculo"/>
            <w:noProof/>
          </w:rPr>
          <w:t>Otorgamiento del Permiso de Operación</w:t>
        </w:r>
        <w:r w:rsidR="00F37F56">
          <w:rPr>
            <w:noProof/>
            <w:webHidden/>
          </w:rPr>
          <w:tab/>
        </w:r>
        <w:r w:rsidR="00F37F56">
          <w:rPr>
            <w:noProof/>
            <w:webHidden/>
          </w:rPr>
          <w:fldChar w:fldCharType="begin"/>
        </w:r>
        <w:r w:rsidR="00F37F56">
          <w:rPr>
            <w:noProof/>
            <w:webHidden/>
          </w:rPr>
          <w:instrText xml:space="preserve"> PAGEREF _Toc448326269 \h </w:instrText>
        </w:r>
        <w:r w:rsidR="00F37F56">
          <w:rPr>
            <w:noProof/>
            <w:webHidden/>
          </w:rPr>
        </w:r>
        <w:r w:rsidR="00F37F56">
          <w:rPr>
            <w:noProof/>
            <w:webHidden/>
          </w:rPr>
          <w:fldChar w:fldCharType="separate"/>
        </w:r>
        <w:r w:rsidR="00F37F56">
          <w:rPr>
            <w:noProof/>
            <w:webHidden/>
          </w:rPr>
          <w:t>25</w:t>
        </w:r>
        <w:r w:rsidR="00F37F56">
          <w:rPr>
            <w:noProof/>
            <w:webHidden/>
          </w:rPr>
          <w:fldChar w:fldCharType="end"/>
        </w:r>
      </w:hyperlink>
    </w:p>
    <w:p w14:paraId="528FAD9D"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70" w:history="1">
        <w:r w:rsidR="00F37F56" w:rsidRPr="00772E19">
          <w:rPr>
            <w:rStyle w:val="Hipervnculo"/>
          </w:rPr>
          <w:t>4.1.</w:t>
        </w:r>
        <w:r w:rsidR="00F37F56">
          <w:rPr>
            <w:rFonts w:asciiTheme="minorHAnsi" w:eastAsiaTheme="minorEastAsia" w:hAnsiTheme="minorHAnsi" w:cstheme="minorBidi"/>
            <w:b w:val="0"/>
            <w:sz w:val="22"/>
            <w:lang w:val="es-419" w:eastAsia="es-419"/>
          </w:rPr>
          <w:tab/>
        </w:r>
        <w:r w:rsidR="00F37F56" w:rsidRPr="00772E19">
          <w:rPr>
            <w:rStyle w:val="Hipervnculo"/>
          </w:rPr>
          <w:t>Audiencia de Apertura de la Oferta Económica</w:t>
        </w:r>
        <w:r w:rsidR="00F37F56">
          <w:rPr>
            <w:webHidden/>
          </w:rPr>
          <w:tab/>
        </w:r>
        <w:r w:rsidR="00F37F56">
          <w:rPr>
            <w:webHidden/>
          </w:rPr>
          <w:fldChar w:fldCharType="begin"/>
        </w:r>
        <w:r w:rsidR="00F37F56">
          <w:rPr>
            <w:webHidden/>
          </w:rPr>
          <w:instrText xml:space="preserve"> PAGEREF _Toc448326270 \h </w:instrText>
        </w:r>
        <w:r w:rsidR="00F37F56">
          <w:rPr>
            <w:webHidden/>
          </w:rPr>
        </w:r>
        <w:r w:rsidR="00F37F56">
          <w:rPr>
            <w:webHidden/>
          </w:rPr>
          <w:fldChar w:fldCharType="separate"/>
        </w:r>
        <w:r w:rsidR="00F37F56">
          <w:rPr>
            <w:webHidden/>
          </w:rPr>
          <w:t>25</w:t>
        </w:r>
        <w:r w:rsidR="00F37F56">
          <w:rPr>
            <w:webHidden/>
          </w:rPr>
          <w:fldChar w:fldCharType="end"/>
        </w:r>
      </w:hyperlink>
    </w:p>
    <w:p w14:paraId="6D043C45"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71" w:history="1">
        <w:r w:rsidR="00F37F56" w:rsidRPr="00772E19">
          <w:rPr>
            <w:rStyle w:val="Hipervnculo"/>
          </w:rPr>
          <w:t>4.2.</w:t>
        </w:r>
        <w:r w:rsidR="00F37F56">
          <w:rPr>
            <w:rFonts w:asciiTheme="minorHAnsi" w:eastAsiaTheme="minorEastAsia" w:hAnsiTheme="minorHAnsi" w:cstheme="minorBidi"/>
            <w:b w:val="0"/>
            <w:sz w:val="22"/>
            <w:lang w:val="es-419" w:eastAsia="es-419"/>
          </w:rPr>
          <w:tab/>
        </w:r>
        <w:r w:rsidR="00F37F56" w:rsidRPr="00772E19">
          <w:rPr>
            <w:rStyle w:val="Hipervnculo"/>
          </w:rPr>
          <w:t>Resolución de Otorgamiento, Denegació o Reonovación del Permiso de Operación</w:t>
        </w:r>
        <w:r w:rsidR="00F37F56">
          <w:rPr>
            <w:webHidden/>
          </w:rPr>
          <w:tab/>
        </w:r>
        <w:r w:rsidR="00F37F56">
          <w:rPr>
            <w:webHidden/>
          </w:rPr>
          <w:fldChar w:fldCharType="begin"/>
        </w:r>
        <w:r w:rsidR="00F37F56">
          <w:rPr>
            <w:webHidden/>
          </w:rPr>
          <w:instrText xml:space="preserve"> PAGEREF _Toc448326271 \h </w:instrText>
        </w:r>
        <w:r w:rsidR="00F37F56">
          <w:rPr>
            <w:webHidden/>
          </w:rPr>
        </w:r>
        <w:r w:rsidR="00F37F56">
          <w:rPr>
            <w:webHidden/>
          </w:rPr>
          <w:fldChar w:fldCharType="separate"/>
        </w:r>
        <w:r w:rsidR="00F37F56">
          <w:rPr>
            <w:webHidden/>
          </w:rPr>
          <w:t>25</w:t>
        </w:r>
        <w:r w:rsidR="00F37F56">
          <w:rPr>
            <w:webHidden/>
          </w:rPr>
          <w:fldChar w:fldCharType="end"/>
        </w:r>
      </w:hyperlink>
    </w:p>
    <w:p w14:paraId="568913E8"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72" w:history="1">
        <w:r w:rsidR="00F37F56" w:rsidRPr="00772E19">
          <w:rPr>
            <w:rStyle w:val="Hipervnculo"/>
          </w:rPr>
          <w:t>4.3.</w:t>
        </w:r>
        <w:r w:rsidR="00F37F56">
          <w:rPr>
            <w:rFonts w:asciiTheme="minorHAnsi" w:eastAsiaTheme="minorEastAsia" w:hAnsiTheme="minorHAnsi" w:cstheme="minorBidi"/>
            <w:b w:val="0"/>
            <w:sz w:val="22"/>
            <w:lang w:val="es-419" w:eastAsia="es-419"/>
          </w:rPr>
          <w:tab/>
        </w:r>
        <w:r w:rsidR="00F37F56" w:rsidRPr="00772E19">
          <w:rPr>
            <w:rStyle w:val="Hipervnculo"/>
          </w:rPr>
          <w:t>Reemplazo de las Cauciones</w:t>
        </w:r>
        <w:r w:rsidR="00F37F56">
          <w:rPr>
            <w:webHidden/>
          </w:rPr>
          <w:tab/>
        </w:r>
        <w:r w:rsidR="00F37F56">
          <w:rPr>
            <w:webHidden/>
          </w:rPr>
          <w:fldChar w:fldCharType="begin"/>
        </w:r>
        <w:r w:rsidR="00F37F56">
          <w:rPr>
            <w:webHidden/>
          </w:rPr>
          <w:instrText xml:space="preserve"> PAGEREF _Toc448326272 \h </w:instrText>
        </w:r>
        <w:r w:rsidR="00F37F56">
          <w:rPr>
            <w:webHidden/>
          </w:rPr>
        </w:r>
        <w:r w:rsidR="00F37F56">
          <w:rPr>
            <w:webHidden/>
          </w:rPr>
          <w:fldChar w:fldCharType="separate"/>
        </w:r>
        <w:r w:rsidR="00F37F56">
          <w:rPr>
            <w:webHidden/>
          </w:rPr>
          <w:t>25</w:t>
        </w:r>
        <w:r w:rsidR="00F37F56">
          <w:rPr>
            <w:webHidden/>
          </w:rPr>
          <w:fldChar w:fldCharType="end"/>
        </w:r>
      </w:hyperlink>
    </w:p>
    <w:p w14:paraId="63CD9A66" w14:textId="77777777" w:rsidR="00F37F56" w:rsidRDefault="007032EC">
      <w:pPr>
        <w:pStyle w:val="TDC1"/>
        <w:rPr>
          <w:rFonts w:asciiTheme="minorHAnsi" w:eastAsiaTheme="minorEastAsia" w:hAnsiTheme="minorHAnsi" w:cstheme="minorBidi"/>
          <w:b w:val="0"/>
          <w:caps w:val="0"/>
          <w:noProof/>
          <w:sz w:val="22"/>
          <w:lang w:val="es-419" w:eastAsia="es-419"/>
        </w:rPr>
      </w:pPr>
      <w:hyperlink w:anchor="_Toc448326273" w:history="1">
        <w:r w:rsidR="00F37F56" w:rsidRPr="00772E19">
          <w:rPr>
            <w:rStyle w:val="Hipervnculo"/>
            <w:noProof/>
          </w:rPr>
          <w:t>5.</w:t>
        </w:r>
        <w:r w:rsidR="00F37F56">
          <w:rPr>
            <w:rFonts w:asciiTheme="minorHAnsi" w:eastAsiaTheme="minorEastAsia" w:hAnsiTheme="minorHAnsi" w:cstheme="minorBidi"/>
            <w:b w:val="0"/>
            <w:caps w:val="0"/>
            <w:noProof/>
            <w:sz w:val="22"/>
            <w:lang w:val="es-419" w:eastAsia="es-419"/>
          </w:rPr>
          <w:tab/>
        </w:r>
        <w:r w:rsidR="00F37F56" w:rsidRPr="00772E19">
          <w:rPr>
            <w:rStyle w:val="Hipervnculo"/>
            <w:noProof/>
          </w:rPr>
          <w:t>DE LOS RECURSOS.</w:t>
        </w:r>
        <w:r w:rsidR="00F37F56">
          <w:rPr>
            <w:noProof/>
            <w:webHidden/>
          </w:rPr>
          <w:tab/>
        </w:r>
        <w:r w:rsidR="00F37F56">
          <w:rPr>
            <w:noProof/>
            <w:webHidden/>
          </w:rPr>
          <w:fldChar w:fldCharType="begin"/>
        </w:r>
        <w:r w:rsidR="00F37F56">
          <w:rPr>
            <w:noProof/>
            <w:webHidden/>
          </w:rPr>
          <w:instrText xml:space="preserve"> PAGEREF _Toc448326273 \h </w:instrText>
        </w:r>
        <w:r w:rsidR="00F37F56">
          <w:rPr>
            <w:noProof/>
            <w:webHidden/>
          </w:rPr>
        </w:r>
        <w:r w:rsidR="00F37F56">
          <w:rPr>
            <w:noProof/>
            <w:webHidden/>
          </w:rPr>
          <w:fldChar w:fldCharType="separate"/>
        </w:r>
        <w:r w:rsidR="00F37F56">
          <w:rPr>
            <w:noProof/>
            <w:webHidden/>
          </w:rPr>
          <w:t>27</w:t>
        </w:r>
        <w:r w:rsidR="00F37F56">
          <w:rPr>
            <w:noProof/>
            <w:webHidden/>
          </w:rPr>
          <w:fldChar w:fldCharType="end"/>
        </w:r>
      </w:hyperlink>
    </w:p>
    <w:p w14:paraId="61A92334" w14:textId="77777777" w:rsidR="00F37F56" w:rsidRDefault="007032EC">
      <w:pPr>
        <w:pStyle w:val="TDC1"/>
        <w:rPr>
          <w:rFonts w:asciiTheme="minorHAnsi" w:eastAsiaTheme="minorEastAsia" w:hAnsiTheme="minorHAnsi" w:cstheme="minorBidi"/>
          <w:b w:val="0"/>
          <w:caps w:val="0"/>
          <w:noProof/>
          <w:sz w:val="22"/>
          <w:lang w:val="es-419" w:eastAsia="es-419"/>
        </w:rPr>
      </w:pPr>
      <w:hyperlink w:anchor="_Toc448326274" w:history="1">
        <w:r w:rsidR="00F37F56" w:rsidRPr="00772E19">
          <w:rPr>
            <w:rStyle w:val="Hipervnculo"/>
            <w:noProof/>
          </w:rPr>
          <w:t>6.</w:t>
        </w:r>
        <w:r w:rsidR="00F37F56">
          <w:rPr>
            <w:rFonts w:asciiTheme="minorHAnsi" w:eastAsiaTheme="minorEastAsia" w:hAnsiTheme="minorHAnsi" w:cstheme="minorBidi"/>
            <w:b w:val="0"/>
            <w:caps w:val="0"/>
            <w:noProof/>
            <w:sz w:val="22"/>
            <w:lang w:val="es-419" w:eastAsia="es-419"/>
          </w:rPr>
          <w:tab/>
        </w:r>
        <w:r w:rsidR="00F37F56" w:rsidRPr="00772E19">
          <w:rPr>
            <w:rStyle w:val="Hipervnculo"/>
            <w:noProof/>
          </w:rPr>
          <w:t>Anexos</w:t>
        </w:r>
        <w:r w:rsidR="00F37F56">
          <w:rPr>
            <w:noProof/>
            <w:webHidden/>
          </w:rPr>
          <w:tab/>
        </w:r>
        <w:r w:rsidR="00F37F56">
          <w:rPr>
            <w:noProof/>
            <w:webHidden/>
          </w:rPr>
          <w:fldChar w:fldCharType="begin"/>
        </w:r>
        <w:r w:rsidR="00F37F56">
          <w:rPr>
            <w:noProof/>
            <w:webHidden/>
          </w:rPr>
          <w:instrText xml:space="preserve"> PAGEREF _Toc448326274 \h </w:instrText>
        </w:r>
        <w:r w:rsidR="00F37F56">
          <w:rPr>
            <w:noProof/>
            <w:webHidden/>
          </w:rPr>
        </w:r>
        <w:r w:rsidR="00F37F56">
          <w:rPr>
            <w:noProof/>
            <w:webHidden/>
          </w:rPr>
          <w:fldChar w:fldCharType="separate"/>
        </w:r>
        <w:r w:rsidR="00F37F56">
          <w:rPr>
            <w:noProof/>
            <w:webHidden/>
          </w:rPr>
          <w:t>28</w:t>
        </w:r>
        <w:r w:rsidR="00F37F56">
          <w:rPr>
            <w:noProof/>
            <w:webHidden/>
          </w:rPr>
          <w:fldChar w:fldCharType="end"/>
        </w:r>
      </w:hyperlink>
    </w:p>
    <w:p w14:paraId="30B86E2A"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75" w:history="1">
        <w:r w:rsidR="00F37F56" w:rsidRPr="00772E19">
          <w:rPr>
            <w:rStyle w:val="Hipervnculo"/>
          </w:rPr>
          <w:t>6.1.</w:t>
        </w:r>
        <w:r w:rsidR="00F37F56">
          <w:rPr>
            <w:rFonts w:asciiTheme="minorHAnsi" w:eastAsiaTheme="minorEastAsia" w:hAnsiTheme="minorHAnsi" w:cstheme="minorBidi"/>
            <w:b w:val="0"/>
            <w:sz w:val="22"/>
            <w:lang w:val="es-419" w:eastAsia="es-419"/>
          </w:rPr>
          <w:tab/>
        </w:r>
        <w:r w:rsidR="00F37F56" w:rsidRPr="00772E19">
          <w:rPr>
            <w:rStyle w:val="Hipervnculo"/>
          </w:rPr>
          <w:t>Anexo 1: Metodología de Evaluación Técnica</w:t>
        </w:r>
        <w:r w:rsidR="00F37F56">
          <w:rPr>
            <w:webHidden/>
          </w:rPr>
          <w:tab/>
        </w:r>
        <w:r w:rsidR="00F37F56">
          <w:rPr>
            <w:webHidden/>
          </w:rPr>
          <w:fldChar w:fldCharType="begin"/>
        </w:r>
        <w:r w:rsidR="00F37F56">
          <w:rPr>
            <w:webHidden/>
          </w:rPr>
          <w:instrText xml:space="preserve"> PAGEREF _Toc448326275 \h </w:instrText>
        </w:r>
        <w:r w:rsidR="00F37F56">
          <w:rPr>
            <w:webHidden/>
          </w:rPr>
        </w:r>
        <w:r w:rsidR="00F37F56">
          <w:rPr>
            <w:webHidden/>
          </w:rPr>
          <w:fldChar w:fldCharType="separate"/>
        </w:r>
        <w:r w:rsidR="00F37F56">
          <w:rPr>
            <w:webHidden/>
          </w:rPr>
          <w:t>28</w:t>
        </w:r>
        <w:r w:rsidR="00F37F56">
          <w:rPr>
            <w:webHidden/>
          </w:rPr>
          <w:fldChar w:fldCharType="end"/>
        </w:r>
      </w:hyperlink>
    </w:p>
    <w:p w14:paraId="2E6706CB"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76" w:history="1">
        <w:r w:rsidR="00F37F56" w:rsidRPr="00772E19">
          <w:rPr>
            <w:rStyle w:val="Hipervnculo"/>
          </w:rPr>
          <w:t>6.2.</w:t>
        </w:r>
        <w:r w:rsidR="00F37F56">
          <w:rPr>
            <w:rFonts w:asciiTheme="minorHAnsi" w:eastAsiaTheme="minorEastAsia" w:hAnsiTheme="minorHAnsi" w:cstheme="minorBidi"/>
            <w:b w:val="0"/>
            <w:sz w:val="22"/>
            <w:lang w:val="es-419" w:eastAsia="es-419"/>
          </w:rPr>
          <w:tab/>
        </w:r>
        <w:r w:rsidR="00F37F56" w:rsidRPr="00772E19">
          <w:rPr>
            <w:rStyle w:val="Hipervnculo"/>
          </w:rPr>
          <w:t>Anexo 2: Manual de usuario del Sistema Informático de Postulación a un Permiso de Operaciòn (SOPO-SCJ)</w:t>
        </w:r>
        <w:r w:rsidR="00F37F56">
          <w:rPr>
            <w:webHidden/>
          </w:rPr>
          <w:tab/>
        </w:r>
        <w:r w:rsidR="00F37F56">
          <w:rPr>
            <w:webHidden/>
          </w:rPr>
          <w:fldChar w:fldCharType="begin"/>
        </w:r>
        <w:r w:rsidR="00F37F56">
          <w:rPr>
            <w:webHidden/>
          </w:rPr>
          <w:instrText xml:space="preserve"> PAGEREF _Toc448326276 \h </w:instrText>
        </w:r>
        <w:r w:rsidR="00F37F56">
          <w:rPr>
            <w:webHidden/>
          </w:rPr>
        </w:r>
        <w:r w:rsidR="00F37F56">
          <w:rPr>
            <w:webHidden/>
          </w:rPr>
          <w:fldChar w:fldCharType="separate"/>
        </w:r>
        <w:r w:rsidR="00F37F56">
          <w:rPr>
            <w:webHidden/>
          </w:rPr>
          <w:t>28</w:t>
        </w:r>
        <w:r w:rsidR="00F37F56">
          <w:rPr>
            <w:webHidden/>
          </w:rPr>
          <w:fldChar w:fldCharType="end"/>
        </w:r>
      </w:hyperlink>
    </w:p>
    <w:p w14:paraId="417C62CD"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77" w:history="1">
        <w:r w:rsidR="00F37F56" w:rsidRPr="00772E19">
          <w:rPr>
            <w:rStyle w:val="Hipervnculo"/>
          </w:rPr>
          <w:t>6.3.</w:t>
        </w:r>
        <w:r w:rsidR="00F37F56">
          <w:rPr>
            <w:rFonts w:asciiTheme="minorHAnsi" w:eastAsiaTheme="minorEastAsia" w:hAnsiTheme="minorHAnsi" w:cstheme="minorBidi"/>
            <w:b w:val="0"/>
            <w:sz w:val="22"/>
            <w:lang w:val="es-419" w:eastAsia="es-419"/>
          </w:rPr>
          <w:tab/>
        </w:r>
        <w:r w:rsidR="00F37F56" w:rsidRPr="00772E19">
          <w:rPr>
            <w:rStyle w:val="Hipervnculo"/>
          </w:rPr>
          <w:t>Anexo 3: Decalaraciones Juradas</w:t>
        </w:r>
        <w:r w:rsidR="00F37F56">
          <w:rPr>
            <w:webHidden/>
          </w:rPr>
          <w:tab/>
        </w:r>
        <w:r w:rsidR="00F37F56">
          <w:rPr>
            <w:webHidden/>
          </w:rPr>
          <w:fldChar w:fldCharType="begin"/>
        </w:r>
        <w:r w:rsidR="00F37F56">
          <w:rPr>
            <w:webHidden/>
          </w:rPr>
          <w:instrText xml:space="preserve"> PAGEREF _Toc448326277 \h </w:instrText>
        </w:r>
        <w:r w:rsidR="00F37F56">
          <w:rPr>
            <w:webHidden/>
          </w:rPr>
        </w:r>
        <w:r w:rsidR="00F37F56">
          <w:rPr>
            <w:webHidden/>
          </w:rPr>
          <w:fldChar w:fldCharType="separate"/>
        </w:r>
        <w:r w:rsidR="00F37F56">
          <w:rPr>
            <w:webHidden/>
          </w:rPr>
          <w:t>28</w:t>
        </w:r>
        <w:r w:rsidR="00F37F56">
          <w:rPr>
            <w:webHidden/>
          </w:rPr>
          <w:fldChar w:fldCharType="end"/>
        </w:r>
      </w:hyperlink>
    </w:p>
    <w:p w14:paraId="5BE73022" w14:textId="77777777" w:rsidR="00F37F56" w:rsidRDefault="007032EC">
      <w:pPr>
        <w:pStyle w:val="TDC2"/>
        <w:tabs>
          <w:tab w:val="left" w:pos="1000"/>
          <w:tab w:val="right" w:leader="dot" w:pos="9396"/>
        </w:tabs>
        <w:rPr>
          <w:rFonts w:asciiTheme="minorHAnsi" w:eastAsiaTheme="minorEastAsia" w:hAnsiTheme="minorHAnsi" w:cstheme="minorBidi"/>
          <w:b w:val="0"/>
          <w:sz w:val="22"/>
          <w:lang w:val="es-419" w:eastAsia="es-419"/>
        </w:rPr>
      </w:pPr>
      <w:hyperlink w:anchor="_Toc448326278" w:history="1">
        <w:r w:rsidR="00F37F56" w:rsidRPr="00772E19">
          <w:rPr>
            <w:rStyle w:val="Hipervnculo"/>
          </w:rPr>
          <w:t>6.4.</w:t>
        </w:r>
        <w:r w:rsidR="00F37F56">
          <w:rPr>
            <w:rFonts w:asciiTheme="minorHAnsi" w:eastAsiaTheme="minorEastAsia" w:hAnsiTheme="minorHAnsi" w:cstheme="minorBidi"/>
            <w:b w:val="0"/>
            <w:sz w:val="22"/>
            <w:lang w:val="es-419" w:eastAsia="es-419"/>
          </w:rPr>
          <w:tab/>
        </w:r>
        <w:r w:rsidR="00F37F56" w:rsidRPr="00772E19">
          <w:rPr>
            <w:rStyle w:val="Hipervnculo"/>
          </w:rPr>
          <w:t>Anexo 4: Oferta Económica</w:t>
        </w:r>
        <w:r w:rsidR="00F37F56">
          <w:rPr>
            <w:webHidden/>
          </w:rPr>
          <w:tab/>
        </w:r>
        <w:r w:rsidR="00F37F56">
          <w:rPr>
            <w:webHidden/>
          </w:rPr>
          <w:fldChar w:fldCharType="begin"/>
        </w:r>
        <w:r w:rsidR="00F37F56">
          <w:rPr>
            <w:webHidden/>
          </w:rPr>
          <w:instrText xml:space="preserve"> PAGEREF _Toc448326278 \h </w:instrText>
        </w:r>
        <w:r w:rsidR="00F37F56">
          <w:rPr>
            <w:webHidden/>
          </w:rPr>
        </w:r>
        <w:r w:rsidR="00F37F56">
          <w:rPr>
            <w:webHidden/>
          </w:rPr>
          <w:fldChar w:fldCharType="separate"/>
        </w:r>
        <w:r w:rsidR="00F37F56">
          <w:rPr>
            <w:webHidden/>
          </w:rPr>
          <w:t>28</w:t>
        </w:r>
        <w:r w:rsidR="00F37F56">
          <w:rPr>
            <w:webHidden/>
          </w:rPr>
          <w:fldChar w:fldCharType="end"/>
        </w:r>
      </w:hyperlink>
    </w:p>
    <w:p w14:paraId="03E52E89" w14:textId="33E33A3F" w:rsidR="0037514C" w:rsidRDefault="00ED1EF4" w:rsidP="006A7A0E">
      <w:pPr>
        <w:rPr>
          <w:snapToGrid w:val="0"/>
          <w:sz w:val="28"/>
        </w:rPr>
      </w:pPr>
      <w:r>
        <w:rPr>
          <w:b/>
          <w:caps/>
          <w:lang w:val="es-ES"/>
        </w:rPr>
        <w:fldChar w:fldCharType="end"/>
      </w:r>
      <w:r w:rsidR="0037514C">
        <w:br w:type="page"/>
      </w:r>
    </w:p>
    <w:p w14:paraId="0A36E27D" w14:textId="77777777" w:rsidR="00E827C6" w:rsidRPr="00B1576D" w:rsidRDefault="00E827C6" w:rsidP="006A7A0E">
      <w:pPr>
        <w:pStyle w:val="Ttulo1"/>
      </w:pPr>
      <w:bookmarkStart w:id="1" w:name="_Toc447791974"/>
      <w:bookmarkStart w:id="2" w:name="_Toc448326231"/>
      <w:r w:rsidRPr="00B1576D">
        <w:lastRenderedPageBreak/>
        <w:t>Antecedentes Generales</w:t>
      </w:r>
      <w:bookmarkEnd w:id="1"/>
      <w:bookmarkEnd w:id="2"/>
    </w:p>
    <w:p w14:paraId="769B8908" w14:textId="77777777" w:rsidR="008F0B8C" w:rsidRPr="00B1576D" w:rsidRDefault="00B1576D" w:rsidP="00946400">
      <w:pPr>
        <w:pStyle w:val="Ttulo2"/>
      </w:pPr>
      <w:bookmarkStart w:id="3" w:name="_Toc447791975"/>
      <w:bookmarkStart w:id="4" w:name="_Toc448326232"/>
      <w:r w:rsidRPr="00B1576D">
        <w:t>Introducción</w:t>
      </w:r>
      <w:bookmarkStart w:id="5" w:name="_Toc418513500"/>
      <w:bookmarkStart w:id="6" w:name="_Toc418785719"/>
      <w:bookmarkEnd w:id="3"/>
      <w:bookmarkEnd w:id="4"/>
    </w:p>
    <w:p w14:paraId="47E4FDE1" w14:textId="0CE4DFE5" w:rsidR="00FD2ACA" w:rsidRPr="00B1576D" w:rsidRDefault="00FD2ACA" w:rsidP="006A7A0E">
      <w:r w:rsidRPr="00B1576D">
        <w:t xml:space="preserve">El Permiso de </w:t>
      </w:r>
      <w:r w:rsidR="008504AF" w:rsidRPr="00B1576D">
        <w:t>O</w:t>
      </w:r>
      <w:r w:rsidRPr="00B1576D">
        <w:t xml:space="preserve">peración constituye una autorización que </w:t>
      </w:r>
      <w:r w:rsidR="003659A5">
        <w:t xml:space="preserve">otorga </w:t>
      </w:r>
      <w:r w:rsidRPr="00B1576D">
        <w:t xml:space="preserve"> el Estado, a través de la Superintendencia de Casinos de Juego, para explotar un casino de juego y aquellos juegos de azar permitidos a cada operador a través de su respectiva licencia. </w:t>
      </w:r>
    </w:p>
    <w:p w14:paraId="36EC71E3" w14:textId="1C36D250" w:rsidR="00FD2ACA" w:rsidRPr="00B1576D" w:rsidRDefault="006C663D" w:rsidP="006A7A0E">
      <w:r w:rsidRPr="00B1576D">
        <w:t>Conforme lo prescribe la Ley N° 19.995, que establece las Bases Generales para la Autorización, Funcionamiento y Fiscalización de Casinos de Juego</w:t>
      </w:r>
      <w:r w:rsidR="008504AF" w:rsidRPr="00B1576D">
        <w:t>, en adelante</w:t>
      </w:r>
      <w:r w:rsidR="00561067" w:rsidRPr="00B1576D">
        <w:t xml:space="preserve"> también</w:t>
      </w:r>
      <w:r w:rsidR="008504AF" w:rsidRPr="00B1576D">
        <w:t xml:space="preserve"> la Ley</w:t>
      </w:r>
      <w:r w:rsidR="0059709C" w:rsidRPr="00B1576D">
        <w:t xml:space="preserve"> de Casinos</w:t>
      </w:r>
      <w:r w:rsidR="008504AF" w:rsidRPr="00B1576D">
        <w:t>,</w:t>
      </w:r>
      <w:r w:rsidRPr="00B1576D">
        <w:t xml:space="preserve"> y d</w:t>
      </w:r>
      <w:r w:rsidR="00BB5DA0" w:rsidRPr="00B1576D">
        <w:t>e acuerdo a lo dispuesto en el art</w:t>
      </w:r>
      <w:r w:rsidR="00FD2ACA" w:rsidRPr="00B1576D">
        <w:t>ículo 3</w:t>
      </w:r>
      <w:r w:rsidR="0018753E" w:rsidRPr="00B1576D">
        <w:t>°</w:t>
      </w:r>
      <w:r w:rsidR="00BB5DA0" w:rsidRPr="00B1576D">
        <w:t xml:space="preserve"> del Decreto Supremo N° 1</w:t>
      </w:r>
      <w:r w:rsidR="00451DC7" w:rsidRPr="00B1576D">
        <w:t>.</w:t>
      </w:r>
      <w:r w:rsidR="00BB5DA0" w:rsidRPr="00B1576D">
        <w:t>722 de 2015, del Ministerio de Hacienda</w:t>
      </w:r>
      <w:r w:rsidRPr="00B1576D">
        <w:t>,</w:t>
      </w:r>
      <w:r w:rsidR="00451DC7" w:rsidRPr="00B1576D">
        <w:t xml:space="preserve"> que establece el </w:t>
      </w:r>
      <w:r w:rsidR="00BB5DA0" w:rsidRPr="00B1576D">
        <w:t>Reglamento para la Tramitación y Otorgamiento de Permisos d</w:t>
      </w:r>
      <w:r w:rsidR="00451DC7" w:rsidRPr="00B1576D">
        <w:t>e Operación de Casinos de Juego</w:t>
      </w:r>
      <w:r w:rsidR="00BB5DA0" w:rsidRPr="00B1576D">
        <w:t>,</w:t>
      </w:r>
      <w:r w:rsidR="00451DC7" w:rsidRPr="00B1576D">
        <w:t xml:space="preserve"> en adelante, el Reglamento,</w:t>
      </w:r>
      <w:r w:rsidR="00BB5DA0" w:rsidRPr="00B1576D">
        <w:t xml:space="preserve"> </w:t>
      </w:r>
      <w:r w:rsidR="00FD2ACA" w:rsidRPr="00B1576D">
        <w:t>corresponde exclusivamente a la Superintendencia de Casinos de Juego</w:t>
      </w:r>
      <w:r w:rsidR="00A8054A">
        <w:t xml:space="preserve">; </w:t>
      </w:r>
      <w:r w:rsidR="00A8054A" w:rsidRPr="00A8054A">
        <w:t>e</w:t>
      </w:r>
      <w:r w:rsidR="00A8054A">
        <w:t>n adelante, la Superintendencia;</w:t>
      </w:r>
      <w:r w:rsidR="00FD2ACA" w:rsidRPr="00B1576D">
        <w:t xml:space="preserve"> el otorgamiento o la renovación de permisos de operación para la instalación y funcionamiento de casinos de juego en el país, previa verificación y evaluación del cumplimiento de</w:t>
      </w:r>
      <w:r w:rsidR="00A8054A">
        <w:t xml:space="preserve"> las </w:t>
      </w:r>
      <w:r w:rsidR="00FD2ACA" w:rsidRPr="00B1576D">
        <w:t>condiciones generales y especiales</w:t>
      </w:r>
      <w:r w:rsidR="00A8054A">
        <w:t xml:space="preserve"> </w:t>
      </w:r>
      <w:r w:rsidR="00A8054A" w:rsidRPr="00A8054A">
        <w:t>que se establezcan</w:t>
      </w:r>
      <w:r w:rsidR="00256456">
        <w:t>,</w:t>
      </w:r>
      <w:r w:rsidR="00A8054A" w:rsidRPr="00A8054A">
        <w:t xml:space="preserve"> as</w:t>
      </w:r>
      <w:r w:rsidR="00256456">
        <w:t>í</w:t>
      </w:r>
      <w:r w:rsidR="00A8054A" w:rsidRPr="00A8054A">
        <w:t xml:space="preserve"> como el </w:t>
      </w:r>
      <w:r w:rsidR="00CA095D" w:rsidRPr="00B1576D">
        <w:t>cumplimiento de</w:t>
      </w:r>
      <w:r w:rsidR="00FD2ACA" w:rsidRPr="00B1576D">
        <w:t xml:space="preserve"> requisitos legales y </w:t>
      </w:r>
      <w:r w:rsidR="00A8054A">
        <w:t>reglamentarios pertinentes</w:t>
      </w:r>
      <w:r w:rsidR="00502A16" w:rsidRPr="00B1576D">
        <w:t>;</w:t>
      </w:r>
      <w:r w:rsidR="00A8054A">
        <w:t xml:space="preserve"> todo ello </w:t>
      </w:r>
      <w:r w:rsidR="00FD2ACA" w:rsidRPr="00B1576D">
        <w:t xml:space="preserve"> </w:t>
      </w:r>
      <w:r w:rsidR="00A8054A">
        <w:t xml:space="preserve">de </w:t>
      </w:r>
      <w:r w:rsidR="00FD2ACA" w:rsidRPr="00B1576D">
        <w:t>acuerdo al procedimiento establecido para tal efecto.</w:t>
      </w:r>
    </w:p>
    <w:p w14:paraId="27D9E071" w14:textId="7E2EF78A" w:rsidR="00F9063A" w:rsidRPr="00B1576D" w:rsidRDefault="001228AE" w:rsidP="006A7A0E">
      <w:bookmarkStart w:id="7" w:name="_Toc428795605"/>
      <w:r w:rsidRPr="00B1576D">
        <w:t xml:space="preserve">Las </w:t>
      </w:r>
      <w:r w:rsidR="006C663D" w:rsidRPr="00B1576D">
        <w:t xml:space="preserve">presentes </w:t>
      </w:r>
      <w:r w:rsidRPr="00B1576D">
        <w:t>Bases Técnicas</w:t>
      </w:r>
      <w:r w:rsidR="0037514C">
        <w:t xml:space="preserve"> para el otorgamiento del permiso de operación de un Casino de Juego en la Comuna de </w:t>
      </w:r>
      <w:r w:rsidR="0037514C" w:rsidRPr="0037514C">
        <w:rPr>
          <w:highlight w:val="yellow"/>
        </w:rPr>
        <w:t>XXXX</w:t>
      </w:r>
      <w:r w:rsidR="0037514C">
        <w:t>, en adelante indistintamente Bases Técnicas o Bases,</w:t>
      </w:r>
      <w:r w:rsidRPr="00B1576D">
        <w:t xml:space="preserve"> </w:t>
      </w:r>
      <w:r w:rsidR="006C663D" w:rsidRPr="00B1576D">
        <w:t>tienen por finalidad establecer</w:t>
      </w:r>
      <w:r w:rsidR="00DD55EC" w:rsidRPr="00B1576D">
        <w:t xml:space="preserve"> los requerimientos necesarios para </w:t>
      </w:r>
      <w:r w:rsidR="00451DC7" w:rsidRPr="00B1576D">
        <w:t>realizar</w:t>
      </w:r>
      <w:r w:rsidR="00DD55EC" w:rsidRPr="00B1576D">
        <w:t xml:space="preserve"> una postulación a un permiso de operación</w:t>
      </w:r>
      <w:r w:rsidR="00B1576D">
        <w:t xml:space="preserve">, o </w:t>
      </w:r>
      <w:r w:rsidR="00747C9B">
        <w:t>la</w:t>
      </w:r>
      <w:r w:rsidR="00B1576D">
        <w:t xml:space="preserve"> renovación</w:t>
      </w:r>
      <w:r w:rsidR="00747C9B">
        <w:t xml:space="preserve"> del mismo</w:t>
      </w:r>
      <w:r w:rsidR="00B1576D">
        <w:t xml:space="preserve">, </w:t>
      </w:r>
      <w:r w:rsidR="00DD55EC" w:rsidRPr="00B1576D">
        <w:t xml:space="preserve"> de</w:t>
      </w:r>
      <w:r w:rsidR="00B1576D">
        <w:t xml:space="preserve"> un</w:t>
      </w:r>
      <w:r w:rsidR="00DD55EC" w:rsidRPr="00B1576D">
        <w:t xml:space="preserve"> casino de juego </w:t>
      </w:r>
      <w:r w:rsidR="00451DC7" w:rsidRPr="00B1576D">
        <w:t xml:space="preserve">por parte de </w:t>
      </w:r>
      <w:r w:rsidR="009A2A1F">
        <w:t xml:space="preserve">las </w:t>
      </w:r>
      <w:r w:rsidR="00DD55EC" w:rsidRPr="00B1576D">
        <w:t xml:space="preserve"> sociedades interesadas</w:t>
      </w:r>
      <w:r w:rsidR="00256456">
        <w:t xml:space="preserve"> o postulantes</w:t>
      </w:r>
      <w:r w:rsidRPr="00B1576D">
        <w:t>.</w:t>
      </w:r>
    </w:p>
    <w:p w14:paraId="6C8413C2" w14:textId="77777777" w:rsidR="00E827C6" w:rsidRPr="00B1576D" w:rsidRDefault="00E827C6" w:rsidP="006A7A0E"/>
    <w:p w14:paraId="21F6E8F9" w14:textId="6ADB56FA" w:rsidR="008B0BF6" w:rsidRDefault="00DD55EC" w:rsidP="006A7A0E">
      <w:r w:rsidRPr="00B1576D">
        <w:t>Conforme a la Ley</w:t>
      </w:r>
      <w:r w:rsidR="008E5242" w:rsidRPr="00B1576D">
        <w:t xml:space="preserve"> </w:t>
      </w:r>
      <w:r w:rsidR="009A2A1F">
        <w:t>de Casinos</w:t>
      </w:r>
      <w:r w:rsidRPr="00B1576D">
        <w:t xml:space="preserve"> y al </w:t>
      </w:r>
      <w:r w:rsidR="00451DC7" w:rsidRPr="00B1576D">
        <w:t>Reglamento</w:t>
      </w:r>
      <w:r w:rsidR="00BB5DA0" w:rsidRPr="00B1576D">
        <w:t xml:space="preserve">, </w:t>
      </w:r>
      <w:r w:rsidRPr="00B1576D">
        <w:t xml:space="preserve">el </w:t>
      </w:r>
      <w:r w:rsidR="00645509">
        <w:t xml:space="preserve">procedimiento </w:t>
      </w:r>
      <w:r w:rsidRPr="00B1576D">
        <w:t xml:space="preserve">de otorgamiento </w:t>
      </w:r>
      <w:r w:rsidR="00B06905">
        <w:t xml:space="preserve">o renovación </w:t>
      </w:r>
      <w:r w:rsidRPr="00B1576D">
        <w:t>de permisos de operación para casinos de juego</w:t>
      </w:r>
      <w:r w:rsidR="00B06905">
        <w:t xml:space="preserve"> (en adelante, el Proceso) </w:t>
      </w:r>
      <w:r w:rsidRPr="00B1576D">
        <w:t xml:space="preserve"> </w:t>
      </w:r>
      <w:r w:rsidR="001228AE" w:rsidRPr="00B1576D">
        <w:t>se desarrollará de acuerdo a las siguientes etapas</w:t>
      </w:r>
      <w:r w:rsidR="00EC78BC">
        <w:t xml:space="preserve"> o hitos</w:t>
      </w:r>
      <w:r w:rsidR="001228AE" w:rsidRPr="00B1576D">
        <w:t>:</w:t>
      </w:r>
    </w:p>
    <w:p w14:paraId="1731E48C" w14:textId="77777777" w:rsidR="00EC78BC" w:rsidRPr="00B1576D" w:rsidRDefault="00EC78BC" w:rsidP="006A7A0E"/>
    <w:p w14:paraId="733D5EF0" w14:textId="7DE5F8DA" w:rsidR="00EC78BC" w:rsidRDefault="00EC78BC" w:rsidP="006A7A0E">
      <w:pPr>
        <w:pStyle w:val="nNormal"/>
      </w:pPr>
      <w:r>
        <w:t>Preparación de las Ofertas</w:t>
      </w:r>
    </w:p>
    <w:p w14:paraId="185456BA" w14:textId="6677AEE3" w:rsidR="008B0BF6" w:rsidRPr="00B1576D" w:rsidRDefault="00AF6F4C" w:rsidP="00EC78BC">
      <w:pPr>
        <w:pStyle w:val="nNormal"/>
        <w:numPr>
          <w:ilvl w:val="1"/>
          <w:numId w:val="6"/>
        </w:numPr>
      </w:pPr>
      <w:r w:rsidRPr="00B1576D">
        <w:t xml:space="preserve">Resolución de </w:t>
      </w:r>
      <w:r w:rsidR="00DD55EC" w:rsidRPr="00B1576D">
        <w:t>Apertura</w:t>
      </w:r>
      <w:r w:rsidR="00F9063A" w:rsidRPr="00B1576D">
        <w:t xml:space="preserve"> del proceso de otorgamiento de</w:t>
      </w:r>
      <w:r w:rsidR="00DB7913">
        <w:t xml:space="preserve"> un permiso de operación</w:t>
      </w:r>
      <w:r w:rsidR="00F9063A" w:rsidRPr="00B1576D">
        <w:t xml:space="preserve"> permisos</w:t>
      </w:r>
      <w:r w:rsidR="008B0BF6" w:rsidRPr="00B1576D">
        <w:t>;</w:t>
      </w:r>
      <w:r w:rsidR="00913DC4">
        <w:t xml:space="preserve"> en adelante la Resolución de Apertura.</w:t>
      </w:r>
    </w:p>
    <w:p w14:paraId="768FCEDF" w14:textId="2069427E" w:rsidR="00F9063A" w:rsidRPr="00B1576D" w:rsidRDefault="00F9063A" w:rsidP="00EC78BC">
      <w:pPr>
        <w:pStyle w:val="nNormal"/>
        <w:numPr>
          <w:ilvl w:val="1"/>
          <w:numId w:val="6"/>
        </w:numPr>
      </w:pPr>
      <w:r w:rsidRPr="00B1576D">
        <w:t>Preparación de las ofertas y consultas;</w:t>
      </w:r>
    </w:p>
    <w:p w14:paraId="06002EC9" w14:textId="77777777" w:rsidR="008B0BF6" w:rsidRPr="00B1576D" w:rsidRDefault="008B0BF6" w:rsidP="00EC78BC">
      <w:pPr>
        <w:pStyle w:val="nNormal"/>
        <w:numPr>
          <w:ilvl w:val="1"/>
          <w:numId w:val="6"/>
        </w:numPr>
      </w:pPr>
      <w:r w:rsidRPr="00B1576D">
        <w:t xml:space="preserve">Audiencia de </w:t>
      </w:r>
      <w:r w:rsidR="00AF6F4C" w:rsidRPr="00B1576D">
        <w:t>P</w:t>
      </w:r>
      <w:r w:rsidRPr="00B1576D">
        <w:t xml:space="preserve">resentación de </w:t>
      </w:r>
      <w:r w:rsidR="00AF6F4C" w:rsidRPr="00B1576D">
        <w:t>O</w:t>
      </w:r>
      <w:r w:rsidRPr="00B1576D">
        <w:t>fertas</w:t>
      </w:r>
      <w:r w:rsidR="005B4621">
        <w:t xml:space="preserve"> Técnicas y Económicas</w:t>
      </w:r>
      <w:r w:rsidRPr="00B1576D">
        <w:t>;</w:t>
      </w:r>
    </w:p>
    <w:p w14:paraId="500F8C8A" w14:textId="7A88B95B" w:rsidR="008B0BF6" w:rsidRPr="00B1576D" w:rsidRDefault="00DD55EC" w:rsidP="006A7A0E">
      <w:pPr>
        <w:pStyle w:val="nNormal"/>
      </w:pPr>
      <w:r w:rsidRPr="00B1576D">
        <w:t>Evaluación</w:t>
      </w:r>
      <w:r w:rsidR="00EC78BC">
        <w:t xml:space="preserve"> de las Ofertas</w:t>
      </w:r>
      <w:r w:rsidR="008B0BF6" w:rsidRPr="00B1576D">
        <w:t>;</w:t>
      </w:r>
    </w:p>
    <w:p w14:paraId="5B68148D" w14:textId="0E6095E4" w:rsidR="00EC78BC" w:rsidRDefault="00EC78BC" w:rsidP="00EC78BC">
      <w:pPr>
        <w:pStyle w:val="nNormal"/>
        <w:numPr>
          <w:ilvl w:val="1"/>
          <w:numId w:val="6"/>
        </w:numPr>
      </w:pPr>
      <w:r>
        <w:t>Metodología de Evaluación</w:t>
      </w:r>
    </w:p>
    <w:p w14:paraId="7F8F7AD2" w14:textId="6A3BC321" w:rsidR="008B0BF6" w:rsidRPr="00B1576D" w:rsidRDefault="008B0BF6" w:rsidP="00EC78BC">
      <w:pPr>
        <w:pStyle w:val="nNormal"/>
        <w:numPr>
          <w:ilvl w:val="1"/>
          <w:numId w:val="6"/>
        </w:numPr>
      </w:pPr>
      <w:r w:rsidRPr="00B1576D">
        <w:t>Resolución de Evaluación</w:t>
      </w:r>
      <w:r w:rsidR="00EC78BC">
        <w:t xml:space="preserve"> de las Ofertas</w:t>
      </w:r>
      <w:r w:rsidRPr="00B1576D">
        <w:t>;</w:t>
      </w:r>
    </w:p>
    <w:p w14:paraId="1CEA0B2F" w14:textId="77777777" w:rsidR="00EC78BC" w:rsidRDefault="00EC78BC" w:rsidP="006A7A0E">
      <w:pPr>
        <w:pStyle w:val="nNormal"/>
      </w:pPr>
      <w:r>
        <w:t>Otorgamiento del Permiso de Operación</w:t>
      </w:r>
    </w:p>
    <w:p w14:paraId="3E67D1AF" w14:textId="59BBDD9E" w:rsidR="008B0BF6" w:rsidRPr="00B1576D" w:rsidRDefault="008B0BF6" w:rsidP="00EC78BC">
      <w:pPr>
        <w:pStyle w:val="nNormal"/>
        <w:numPr>
          <w:ilvl w:val="1"/>
          <w:numId w:val="6"/>
        </w:numPr>
      </w:pPr>
      <w:r w:rsidRPr="00B1576D">
        <w:t xml:space="preserve">Audiencia de </w:t>
      </w:r>
      <w:r w:rsidR="00AF6F4C" w:rsidRPr="00B1576D">
        <w:t>Apertura de la Oferta Económica</w:t>
      </w:r>
      <w:r w:rsidRPr="00B1576D">
        <w:t>;</w:t>
      </w:r>
    </w:p>
    <w:p w14:paraId="2FE4091B" w14:textId="77777777" w:rsidR="008B0BF6" w:rsidRPr="00B1576D" w:rsidRDefault="00F1524F" w:rsidP="00EC78BC">
      <w:pPr>
        <w:pStyle w:val="nNormal"/>
        <w:numPr>
          <w:ilvl w:val="1"/>
          <w:numId w:val="6"/>
        </w:numPr>
      </w:pPr>
      <w:r w:rsidRPr="00B1576D">
        <w:t>Resolución de otorgamiento, denegación o renovación de los permisos;</w:t>
      </w:r>
    </w:p>
    <w:p w14:paraId="5A3E252D" w14:textId="77777777" w:rsidR="00747C9B" w:rsidRDefault="00747C9B" w:rsidP="006A7A0E"/>
    <w:p w14:paraId="33E66531" w14:textId="7AECA704" w:rsidR="00FF6ECC" w:rsidRPr="00B1576D" w:rsidRDefault="00913DC4" w:rsidP="00EC78BC">
      <w:r w:rsidRPr="00913DC4">
        <w:lastRenderedPageBreak/>
        <w:t>Para los efectos del Proceso,</w:t>
      </w:r>
      <w:r w:rsidR="00EC78BC">
        <w:t xml:space="preserve"> </w:t>
      </w:r>
      <w:r w:rsidRPr="00913DC4">
        <w:t>se entenderá que los plazos establecidos en las Bases Técnicas son de días hábiles</w:t>
      </w:r>
      <w:r w:rsidR="00EC78BC">
        <w:t xml:space="preserve"> -</w:t>
      </w:r>
      <w:r w:rsidR="001E7849">
        <w:t>excluyendo los días sábado</w:t>
      </w:r>
      <w:r w:rsidR="00EC78BC">
        <w:t>s</w:t>
      </w:r>
      <w:r w:rsidR="001E7849">
        <w:t>,</w:t>
      </w:r>
      <w:r w:rsidRPr="00913DC4">
        <w:t xml:space="preserve"> </w:t>
      </w:r>
      <w:r w:rsidR="00EC78BC">
        <w:t xml:space="preserve">domingos y festivos- </w:t>
      </w:r>
      <w:r w:rsidRPr="00913DC4">
        <w:t>salvo que se señale expresamente lo contrario, y las notificaciones que no consideren una regla especial en estas Bases Técnicas, se harán de conforme a lo establecido en el artículo N° 46 la Ley 19.880, que establece las Bases de los Proc</w:t>
      </w:r>
      <w:r w:rsidR="00EC78BC">
        <w:t>edimientos Administrativos que rigen los actos de la a</w:t>
      </w:r>
      <w:r w:rsidRPr="00913DC4">
        <w:t>dministración del Estado</w:t>
      </w:r>
      <w:bookmarkEnd w:id="5"/>
      <w:bookmarkEnd w:id="6"/>
      <w:bookmarkEnd w:id="7"/>
      <w:r w:rsidR="00EC78BC">
        <w:t>.</w:t>
      </w:r>
    </w:p>
    <w:p w14:paraId="28623B90" w14:textId="77777777" w:rsidR="00C572DF" w:rsidRDefault="00C572DF" w:rsidP="00913DC4">
      <w:pPr>
        <w:rPr>
          <w:lang w:val="es-ES"/>
        </w:rPr>
      </w:pPr>
    </w:p>
    <w:p w14:paraId="4AC7BCDC" w14:textId="79B3D44D" w:rsidR="00913DC4" w:rsidRPr="00913DC4" w:rsidRDefault="00913DC4" w:rsidP="00913DC4">
      <w:pPr>
        <w:rPr>
          <w:lang w:val="es-ES"/>
        </w:rPr>
      </w:pPr>
      <w:r w:rsidRPr="00913DC4">
        <w:rPr>
          <w:lang w:val="es-ES"/>
        </w:rPr>
        <w:t>El Proceso de otorgamiento o renovación de permiso de operación para un Casino de Juego, se regirá por las disposiciones constitucionales, legales y reglamentarias vigentes en Chile y que resulten aplicables y, en especial, los siguientes cuerpos normativos:</w:t>
      </w:r>
    </w:p>
    <w:p w14:paraId="37223141" w14:textId="648E9EA1" w:rsidR="00913DC4" w:rsidRPr="005439D9" w:rsidRDefault="00913DC4" w:rsidP="00CD1801">
      <w:pPr>
        <w:pStyle w:val="nNormal"/>
        <w:numPr>
          <w:ilvl w:val="0"/>
          <w:numId w:val="14"/>
        </w:numPr>
        <w:ind w:left="1560" w:hanging="709"/>
        <w:rPr>
          <w:lang w:val="es-ES"/>
        </w:rPr>
      </w:pPr>
      <w:r w:rsidRPr="001E7849">
        <w:rPr>
          <w:lang w:val="es-ES"/>
        </w:rPr>
        <w:t xml:space="preserve">Ley N° 19.995 sobre Bases Generales para la Autorización, Funcionamiento y Fiscalización de Casinos de Juego, en particular, lo que prescriben los artículos contenidos en el Título IV de dicho cuerpo legal denominado “Del Permiso de Operación”; </w:t>
      </w:r>
    </w:p>
    <w:p w14:paraId="55DF472E" w14:textId="1BB76E5F" w:rsidR="00571B23" w:rsidRPr="00B1576D" w:rsidRDefault="0041200D" w:rsidP="00CD1801">
      <w:pPr>
        <w:pStyle w:val="nNormal"/>
        <w:numPr>
          <w:ilvl w:val="0"/>
          <w:numId w:val="14"/>
        </w:numPr>
        <w:ind w:left="1560" w:hanging="709"/>
      </w:pPr>
      <w:r w:rsidRPr="00B1576D">
        <w:t>Decreto Supremo N° 1</w:t>
      </w:r>
      <w:r w:rsidR="00884A08" w:rsidRPr="00B1576D">
        <w:t>.</w:t>
      </w:r>
      <w:r w:rsidRPr="00B1576D">
        <w:t>722 de 201</w:t>
      </w:r>
      <w:r w:rsidR="00884A08" w:rsidRPr="00B1576D">
        <w:t>5</w:t>
      </w:r>
      <w:r w:rsidRPr="00B1576D">
        <w:t>, del Ministerio de Hacienda</w:t>
      </w:r>
      <w:r w:rsidR="009102BD" w:rsidRPr="00B1576D">
        <w:t>, que E</w:t>
      </w:r>
      <w:r w:rsidR="00451DC7" w:rsidRPr="00B1576D">
        <w:t xml:space="preserve">stablece el </w:t>
      </w:r>
      <w:r w:rsidRPr="00B1576D">
        <w:t xml:space="preserve"> Reglamento para la Tramitación y Otorgamiento de Permisos de Operación de Casinos de Juego</w:t>
      </w:r>
      <w:r w:rsidR="00F1524F" w:rsidRPr="00B1576D">
        <w:t>;</w:t>
      </w:r>
    </w:p>
    <w:p w14:paraId="0D9BE9F3" w14:textId="43645B8D" w:rsidR="001E7849" w:rsidRDefault="00571B23" w:rsidP="00CD1801">
      <w:pPr>
        <w:pStyle w:val="nNormal"/>
        <w:numPr>
          <w:ilvl w:val="0"/>
          <w:numId w:val="14"/>
        </w:numPr>
        <w:ind w:left="1560" w:hanging="709"/>
      </w:pPr>
      <w:r w:rsidRPr="00B1576D">
        <w:t>L</w:t>
      </w:r>
      <w:r w:rsidR="00FF6ECC" w:rsidRPr="00B1576D">
        <w:t xml:space="preserve">as presentes Bases Técnicas </w:t>
      </w:r>
      <w:r w:rsidR="0008375E" w:rsidRPr="00B1576D">
        <w:t>y sus correspondientes anexos</w:t>
      </w:r>
      <w:r w:rsidR="002A4A19" w:rsidRPr="00B1576D">
        <w:t xml:space="preserve"> que se consideran parte integrante de éstas</w:t>
      </w:r>
      <w:r w:rsidR="001E7849">
        <w:t>.</w:t>
      </w:r>
    </w:p>
    <w:p w14:paraId="71BA97A2" w14:textId="0D5D5F4E" w:rsidR="00571B23" w:rsidRPr="00B1576D" w:rsidRDefault="001E7849" w:rsidP="00CD1801">
      <w:pPr>
        <w:pStyle w:val="nNormal"/>
        <w:numPr>
          <w:ilvl w:val="0"/>
          <w:numId w:val="14"/>
        </w:numPr>
        <w:ind w:left="1560" w:hanging="709"/>
      </w:pPr>
      <w:r>
        <w:t>Todas aquellas circulares aclaratorias que respondan  las consultas que formulen las sociedades interesadas</w:t>
      </w:r>
    </w:p>
    <w:p w14:paraId="1E581F95" w14:textId="77777777" w:rsidR="00791E15" w:rsidRDefault="00791E15" w:rsidP="00946400">
      <w:pPr>
        <w:pStyle w:val="Ttulo2"/>
      </w:pPr>
      <w:bookmarkStart w:id="8" w:name="_Toc447791977"/>
      <w:bookmarkStart w:id="9" w:name="_Toc448326233"/>
      <w:r>
        <w:t>C</w:t>
      </w:r>
      <w:r w:rsidR="006C6E0F">
        <w:t>o</w:t>
      </w:r>
      <w:r>
        <w:t>ndiciones Especiales</w:t>
      </w:r>
      <w:bookmarkEnd w:id="8"/>
      <w:bookmarkEnd w:id="9"/>
    </w:p>
    <w:p w14:paraId="35C0692D" w14:textId="1CD02CC1" w:rsidR="006C6E0F" w:rsidRDefault="00791E15" w:rsidP="006A7A0E">
      <w:r w:rsidRPr="00B1576D">
        <w:t xml:space="preserve">Las condiciones especiales, de acuerdo a lo dispuesto en el artículo 3° transitorio de la Ley de Casinos y al artículo </w:t>
      </w:r>
      <w:r w:rsidR="00913DC4">
        <w:t xml:space="preserve">Primero </w:t>
      </w:r>
      <w:r w:rsidRPr="00B1576D">
        <w:t>° Transitorio del reglamento, fueron determinadas por el Consejo Resolutivo de la Superintendencia de Casinos de Juego,</w:t>
      </w:r>
      <w:r w:rsidR="006C6E0F">
        <w:t xml:space="preserve"> según consta en la Resolución Nº </w:t>
      </w:r>
      <w:r w:rsidR="006C6E0F" w:rsidRPr="006C6E0F">
        <w:rPr>
          <w:highlight w:val="yellow"/>
        </w:rPr>
        <w:t>XXX</w:t>
      </w:r>
      <w:r w:rsidR="006C6E0F">
        <w:t xml:space="preserve"> de la Superintendencia de Casinos de Juego.</w:t>
      </w:r>
    </w:p>
    <w:p w14:paraId="7CC416D9" w14:textId="4BA78585" w:rsidR="00C572DF" w:rsidRDefault="00C572DF" w:rsidP="006A7A0E">
      <w:r>
        <w:t>A continuación se enuncian las condiciones especiales consideradas para el proceso de otorgamiento de permiso al que se refieren estas Bases, y en las secciones siguientes del documento se indica la evaluación que se realizará para determinar su cumplimiento.</w:t>
      </w:r>
    </w:p>
    <w:p w14:paraId="2573198A" w14:textId="2D4C527D" w:rsidR="00C572DF" w:rsidRDefault="00C572DF" w:rsidP="00946400">
      <w:pPr>
        <w:pStyle w:val="Ttulo3"/>
      </w:pPr>
      <w:bookmarkStart w:id="10" w:name="_Toc448326234"/>
      <w:r>
        <w:t>Comuna de Arica</w:t>
      </w:r>
      <w:bookmarkEnd w:id="10"/>
    </w:p>
    <w:p w14:paraId="08E7F04B" w14:textId="5C3E568F" w:rsidR="00D2559B" w:rsidRDefault="00D2559B" w:rsidP="00CD1801">
      <w:pPr>
        <w:pStyle w:val="nNormal"/>
        <w:numPr>
          <w:ilvl w:val="0"/>
          <w:numId w:val="15"/>
        </w:numPr>
        <w:ind w:left="1418" w:hanging="284"/>
      </w:pPr>
      <w:r>
        <w:t>Oferta Económica Mínima Garantizada:</w:t>
      </w:r>
      <w:r>
        <w:tab/>
        <w:t>40.000 Unidades de Fomento anuales.</w:t>
      </w:r>
    </w:p>
    <w:p w14:paraId="525DF9E7" w14:textId="77777777" w:rsidR="00D2559B" w:rsidRDefault="00D2559B" w:rsidP="00CD1801">
      <w:pPr>
        <w:pStyle w:val="nNormal"/>
        <w:numPr>
          <w:ilvl w:val="0"/>
          <w:numId w:val="15"/>
        </w:numPr>
        <w:ind w:left="1418" w:hanging="284"/>
      </w:pPr>
      <w:r>
        <w:t>Porcentaje de los trabajadores del actual concesionario que continuarán prestando servicios: al menos un 80%.</w:t>
      </w:r>
    </w:p>
    <w:p w14:paraId="089D2933" w14:textId="3815B403" w:rsidR="00D2559B" w:rsidRDefault="00D2559B" w:rsidP="00CD1801">
      <w:pPr>
        <w:pStyle w:val="nNormal"/>
        <w:numPr>
          <w:ilvl w:val="0"/>
          <w:numId w:val="15"/>
        </w:numPr>
        <w:ind w:left="1418" w:hanging="284"/>
      </w:pPr>
      <w:r>
        <w:t>Condiciones de construcción o ampliación de la infraestructura turística: Mantención del recinto de propiedad municipal del Casino de Juego y mejoramiento del Parque Brasil y zonas aledañas al Casino.</w:t>
      </w:r>
    </w:p>
    <w:p w14:paraId="0531C4CC" w14:textId="2979354B" w:rsidR="00D2559B" w:rsidRDefault="00D2559B" w:rsidP="00CD1801">
      <w:pPr>
        <w:pStyle w:val="nNormal"/>
        <w:numPr>
          <w:ilvl w:val="0"/>
          <w:numId w:val="15"/>
        </w:numPr>
        <w:ind w:left="1418" w:hanging="284"/>
      </w:pPr>
      <w:r>
        <w:lastRenderedPageBreak/>
        <w:t>Inmueble Municipal: El Casino de Juego deberá emplazarse en el inmueble Municipal donde funciona el actual casino, Avenida General Velásquez N° 955, Arica. Con un arriendo del inmueble igual al 5% de los ingresos brutos del casino de juegos (WIN).</w:t>
      </w:r>
    </w:p>
    <w:p w14:paraId="2FBADD31" w14:textId="0C708D21" w:rsidR="00D2559B" w:rsidRPr="00D2559B" w:rsidRDefault="00D2559B" w:rsidP="00CD1801">
      <w:pPr>
        <w:pStyle w:val="nNormal"/>
        <w:numPr>
          <w:ilvl w:val="0"/>
          <w:numId w:val="15"/>
        </w:numPr>
        <w:ind w:left="1418" w:hanging="284"/>
      </w:pPr>
      <w:r>
        <w:t>Inicio de Operaciones: El Plan de Operaciones deberá señalar que el inicio de operaciones será no más allá del 01 de enero de 2018.</w:t>
      </w:r>
    </w:p>
    <w:p w14:paraId="64390C29" w14:textId="70AFFCFF" w:rsidR="001933E7" w:rsidRDefault="00D2559B" w:rsidP="00946400">
      <w:pPr>
        <w:pStyle w:val="Ttulo3"/>
      </w:pPr>
      <w:bookmarkStart w:id="11" w:name="_Toc448326235"/>
      <w:r>
        <w:t>Comuna de Iquique</w:t>
      </w:r>
      <w:bookmarkEnd w:id="11"/>
    </w:p>
    <w:p w14:paraId="38CB2731" w14:textId="31B6A401" w:rsidR="00D2559B" w:rsidRDefault="00D2559B" w:rsidP="00CD1801">
      <w:pPr>
        <w:pStyle w:val="nNormal"/>
        <w:numPr>
          <w:ilvl w:val="0"/>
          <w:numId w:val="16"/>
        </w:numPr>
        <w:ind w:left="1418" w:hanging="284"/>
      </w:pPr>
      <w:r>
        <w:t>Oferta Económica Mínima Garantizada:</w:t>
      </w:r>
      <w:r>
        <w:tab/>
      </w:r>
      <w:r w:rsidR="005B3C32">
        <w:t>200.664</w:t>
      </w:r>
      <w:r>
        <w:t xml:space="preserve"> Unidades de Fomento anuales.</w:t>
      </w:r>
    </w:p>
    <w:p w14:paraId="64AB5D9D" w14:textId="77777777" w:rsidR="00D2559B" w:rsidRDefault="00D2559B" w:rsidP="00CD1801">
      <w:pPr>
        <w:pStyle w:val="nNormal"/>
        <w:numPr>
          <w:ilvl w:val="0"/>
          <w:numId w:val="16"/>
        </w:numPr>
        <w:ind w:left="1418" w:hanging="284"/>
      </w:pPr>
      <w:r>
        <w:t>Porcentaje de los trabajadores del actual concesionario que continuarán prestando servicios: al menos un 80%.</w:t>
      </w:r>
    </w:p>
    <w:p w14:paraId="1D332F92" w14:textId="79CEDD9F" w:rsidR="00D2559B" w:rsidRDefault="00D2559B" w:rsidP="00CD1801">
      <w:pPr>
        <w:pStyle w:val="nNormal"/>
        <w:numPr>
          <w:ilvl w:val="0"/>
          <w:numId w:val="16"/>
        </w:numPr>
        <w:ind w:left="1418" w:hanging="284"/>
      </w:pPr>
      <w:r>
        <w:t xml:space="preserve">Condiciones de construcción o ampliación de la infraestructura turística: </w:t>
      </w:r>
      <w:r w:rsidR="005B3C32">
        <w:t>Hotel de 5 estrellas, con un mínimo de ciento veinte habitaciones; Área comercial y cultural; Centro de Convenciones con capacidad mínima de 2.000 personas; Estacionamientos, públicos y privados con una capacidad mínima total de 600 estacionamientos</w:t>
      </w:r>
      <w:r>
        <w:t>.</w:t>
      </w:r>
    </w:p>
    <w:p w14:paraId="581675BF" w14:textId="6B65DCF3" w:rsidR="00D2559B" w:rsidRDefault="00D2559B" w:rsidP="00CD1801">
      <w:pPr>
        <w:pStyle w:val="nNormal"/>
        <w:numPr>
          <w:ilvl w:val="0"/>
          <w:numId w:val="16"/>
        </w:numPr>
        <w:ind w:left="1418" w:hanging="284"/>
      </w:pPr>
      <w:r>
        <w:t xml:space="preserve">Inmueble Municipal: El Casino de Juego deberá emplazarse en el inmueble Municipal </w:t>
      </w:r>
      <w:r w:rsidR="005B3C32" w:rsidRPr="005B3C32">
        <w:t>de una superficie de 13.227 m2, correspondiente a 74 metros de frente por avenida Arturo Prat por 178,74 metros perpendicular a avenida Arturo Prat y paralelo con avenida Tadeo Haencke. El valor del arriendo se entenderá parte de la oferta económica.</w:t>
      </w:r>
    </w:p>
    <w:p w14:paraId="3DDA53B5" w14:textId="7BCA2349" w:rsidR="005B3C32" w:rsidRDefault="005B3C32" w:rsidP="00946400">
      <w:pPr>
        <w:pStyle w:val="Ttulo3"/>
      </w:pPr>
      <w:bookmarkStart w:id="12" w:name="_Toc448326236"/>
      <w:r>
        <w:t>Comuna de Coquimbo</w:t>
      </w:r>
      <w:bookmarkEnd w:id="12"/>
    </w:p>
    <w:p w14:paraId="783543E7" w14:textId="281B99E8" w:rsidR="006A310C" w:rsidRDefault="006A310C" w:rsidP="00CD1801">
      <w:pPr>
        <w:pStyle w:val="nNormal"/>
        <w:numPr>
          <w:ilvl w:val="0"/>
          <w:numId w:val="17"/>
        </w:numPr>
        <w:ind w:left="1418"/>
      </w:pPr>
      <w:r>
        <w:t>Oferta Económica Mínima Garantizada:</w:t>
      </w:r>
      <w:r>
        <w:tab/>
        <w:t>150.000 Unidades de Fomento anuales.</w:t>
      </w:r>
    </w:p>
    <w:p w14:paraId="2E7AE83C" w14:textId="77777777" w:rsidR="006A310C" w:rsidRDefault="006A310C" w:rsidP="00CD1801">
      <w:pPr>
        <w:pStyle w:val="nNormal"/>
        <w:numPr>
          <w:ilvl w:val="0"/>
          <w:numId w:val="17"/>
        </w:numPr>
        <w:ind w:left="1418"/>
      </w:pPr>
      <w:r>
        <w:t>Porcentaje de los trabajadores del actual concesionario que continuarán prestando servicios: al menos un 80%.</w:t>
      </w:r>
    </w:p>
    <w:p w14:paraId="3C2C0E41" w14:textId="7D4E4978" w:rsidR="006A310C" w:rsidRDefault="006A310C" w:rsidP="00CD1801">
      <w:pPr>
        <w:pStyle w:val="nNormal"/>
        <w:numPr>
          <w:ilvl w:val="0"/>
          <w:numId w:val="17"/>
        </w:numPr>
        <w:ind w:left="1418"/>
      </w:pPr>
      <w:r>
        <w:t xml:space="preserve">Condiciones de construcción o ampliación de la infraestructura turística: </w:t>
      </w:r>
      <w:r w:rsidR="0012352D" w:rsidRPr="0012352D">
        <w:t>Centro de eventos con capacidad mínima para 2.000 personas</w:t>
      </w:r>
      <w:r>
        <w:t>.</w:t>
      </w:r>
    </w:p>
    <w:p w14:paraId="012B9FE5" w14:textId="3C927C8D" w:rsidR="006A310C" w:rsidRDefault="0012352D" w:rsidP="00CD1801">
      <w:pPr>
        <w:pStyle w:val="nNormal"/>
        <w:numPr>
          <w:ilvl w:val="0"/>
          <w:numId w:val="17"/>
        </w:numPr>
        <w:ind w:left="1418"/>
      </w:pPr>
      <w:r>
        <w:t xml:space="preserve">Transferencia del </w:t>
      </w:r>
      <w:r w:rsidR="006A310C">
        <w:t xml:space="preserve">Inmueble: </w:t>
      </w:r>
      <w:r w:rsidRPr="0012352D">
        <w:t>Opción de compra a favor de la Municipalidad a valor comercial al término del permiso de operación y antes de su primera eventual renovación. La determinación del precio se hará utilizando los mecanismos de tasación del MOP y/o MINVU</w:t>
      </w:r>
      <w:r w:rsidR="006A310C">
        <w:t>.</w:t>
      </w:r>
    </w:p>
    <w:p w14:paraId="708DFAF3" w14:textId="77777777" w:rsidR="0012352D" w:rsidRDefault="0012352D" w:rsidP="00CD1801">
      <w:pPr>
        <w:pStyle w:val="nNormal"/>
        <w:numPr>
          <w:ilvl w:val="0"/>
          <w:numId w:val="17"/>
        </w:numPr>
        <w:ind w:left="1418"/>
      </w:pPr>
      <w:r>
        <w:t xml:space="preserve">Obras Existentes: </w:t>
      </w:r>
      <w:r w:rsidRPr="0012352D">
        <w:t>Las postulaciones que incluyan inmuebles ya existentes, serán considerados en el factor inversión, al valor de su avalúo fiscal, pudiendo el postulante demostrar hasta un 80% de la inversión mínima con las obras existentes de Casino y/o Hotel.</w:t>
      </w:r>
    </w:p>
    <w:p w14:paraId="39FD1D42" w14:textId="3E584B29" w:rsidR="0012352D" w:rsidRDefault="0012352D" w:rsidP="00946400">
      <w:pPr>
        <w:pStyle w:val="Ttulo3"/>
      </w:pPr>
      <w:bookmarkStart w:id="13" w:name="_Toc448326237"/>
      <w:r>
        <w:lastRenderedPageBreak/>
        <w:t>Comuna de Viña del Mar</w:t>
      </w:r>
      <w:bookmarkEnd w:id="13"/>
    </w:p>
    <w:p w14:paraId="35F182BE" w14:textId="135E2EB9" w:rsidR="006A310C" w:rsidRDefault="006A310C" w:rsidP="00CD1801">
      <w:pPr>
        <w:pStyle w:val="nNormal"/>
        <w:numPr>
          <w:ilvl w:val="0"/>
          <w:numId w:val="18"/>
        </w:numPr>
        <w:ind w:left="1418" w:hanging="425"/>
      </w:pPr>
      <w:r>
        <w:t>Oferta Económica Mínima Garantizada:</w:t>
      </w:r>
      <w:r>
        <w:tab/>
      </w:r>
      <w:r w:rsidR="0012352D">
        <w:t>596.170</w:t>
      </w:r>
      <w:r>
        <w:t xml:space="preserve"> Unidades de Fomento anuales.</w:t>
      </w:r>
    </w:p>
    <w:p w14:paraId="0D3195AB" w14:textId="77777777" w:rsidR="006A310C" w:rsidRDefault="006A310C" w:rsidP="00CD1801">
      <w:pPr>
        <w:pStyle w:val="nNormal"/>
        <w:numPr>
          <w:ilvl w:val="0"/>
          <w:numId w:val="18"/>
        </w:numPr>
        <w:ind w:left="1418"/>
      </w:pPr>
      <w:r>
        <w:t>Porcentaje de los trabajadores del actual concesionario que continuarán prestando servicios: al menos un 80%.</w:t>
      </w:r>
    </w:p>
    <w:p w14:paraId="424775CC" w14:textId="1AA84617" w:rsidR="006A310C" w:rsidRDefault="006A310C" w:rsidP="00CD1801">
      <w:pPr>
        <w:pStyle w:val="nNormal"/>
        <w:numPr>
          <w:ilvl w:val="0"/>
          <w:numId w:val="18"/>
        </w:numPr>
        <w:ind w:left="1418"/>
      </w:pPr>
      <w:r>
        <w:t xml:space="preserve">Condiciones de construcción o ampliación de la infraestructura turística: </w:t>
      </w:r>
      <w:r w:rsidR="0012352D">
        <w:t>Remodelación o ampliación de la plaza Colombia u otra obra de mejora del entorno, con impacto turístico, que importe una inversión de al menos 20.000 Unidades de Fomento</w:t>
      </w:r>
      <w:r>
        <w:t>.</w:t>
      </w:r>
      <w:r w:rsidR="0012352D">
        <w:t xml:space="preserve"> En todo caso, con el acuerdo entre la Ilustre Municipalidad de Viña del Mar y la Intendencia de Valparaíso.</w:t>
      </w:r>
    </w:p>
    <w:p w14:paraId="4A7EE12F" w14:textId="0FCF564F" w:rsidR="006A310C" w:rsidRDefault="006A310C" w:rsidP="00CD1801">
      <w:pPr>
        <w:pStyle w:val="nNormal"/>
        <w:numPr>
          <w:ilvl w:val="0"/>
          <w:numId w:val="18"/>
        </w:numPr>
        <w:ind w:left="1418"/>
      </w:pPr>
      <w:r>
        <w:t xml:space="preserve">Inmueble Municipal: El Casino de Juego deberá emplazarse en el inmueble Municipal donde funciona el actual casino, Avenida </w:t>
      </w:r>
      <w:r w:rsidR="0012352D">
        <w:t>San Martín 199, Viña del Mar</w:t>
      </w:r>
      <w:r>
        <w:t xml:space="preserve">. </w:t>
      </w:r>
      <w:r w:rsidR="0012352D">
        <w:t>El arriendo se entenderá parte de la oferta económica</w:t>
      </w:r>
      <w:r>
        <w:t>.</w:t>
      </w:r>
    </w:p>
    <w:p w14:paraId="0091AC42" w14:textId="77777777" w:rsidR="006A310C" w:rsidRPr="00D2559B" w:rsidRDefault="006A310C" w:rsidP="00CD1801">
      <w:pPr>
        <w:pStyle w:val="nNormal"/>
        <w:numPr>
          <w:ilvl w:val="0"/>
          <w:numId w:val="18"/>
        </w:numPr>
        <w:ind w:left="1418"/>
      </w:pPr>
      <w:r>
        <w:t>Inicio de Operaciones: El Plan de Operaciones deberá señalar que el inicio de operaciones será no más allá del 01 de enero de 2018.</w:t>
      </w:r>
    </w:p>
    <w:p w14:paraId="3FBC2142" w14:textId="77777777" w:rsidR="0012352D" w:rsidRDefault="0012352D" w:rsidP="00946400">
      <w:pPr>
        <w:pStyle w:val="Ttulo3"/>
      </w:pPr>
      <w:bookmarkStart w:id="14" w:name="_Toc448326238"/>
      <w:r>
        <w:t>Comuna de Pucón</w:t>
      </w:r>
      <w:bookmarkEnd w:id="14"/>
    </w:p>
    <w:p w14:paraId="6F8A0DD5" w14:textId="70DB4D86" w:rsidR="006A310C" w:rsidRDefault="006A310C" w:rsidP="00CD1801">
      <w:pPr>
        <w:pStyle w:val="nNormal"/>
        <w:numPr>
          <w:ilvl w:val="0"/>
          <w:numId w:val="19"/>
        </w:numPr>
        <w:ind w:left="1418"/>
      </w:pPr>
      <w:r>
        <w:t>Oferta Económica Mínima Garantizada:</w:t>
      </w:r>
      <w:r>
        <w:tab/>
      </w:r>
      <w:r w:rsidR="0012352D">
        <w:t>44</w:t>
      </w:r>
      <w:r>
        <w:t>.000 Unidades de Fomento anuales.</w:t>
      </w:r>
    </w:p>
    <w:p w14:paraId="1E418484" w14:textId="77777777" w:rsidR="006A310C" w:rsidRDefault="006A310C" w:rsidP="00CD1801">
      <w:pPr>
        <w:pStyle w:val="nNormal"/>
        <w:numPr>
          <w:ilvl w:val="0"/>
          <w:numId w:val="19"/>
        </w:numPr>
        <w:ind w:left="1418"/>
      </w:pPr>
      <w:r>
        <w:t>Porcentaje de los trabajadores del actual concesionario que continuarán prestando servicios: al menos un 80%.</w:t>
      </w:r>
    </w:p>
    <w:p w14:paraId="52857CC4" w14:textId="3AFF5F24" w:rsidR="006A310C" w:rsidRDefault="006A310C" w:rsidP="00CD1801">
      <w:pPr>
        <w:pStyle w:val="nNormal"/>
        <w:numPr>
          <w:ilvl w:val="0"/>
          <w:numId w:val="19"/>
        </w:numPr>
        <w:ind w:left="1418"/>
      </w:pPr>
      <w:r>
        <w:t xml:space="preserve">Condiciones de construcción o ampliación de la infraestructura turística: </w:t>
      </w:r>
      <w:r w:rsidR="0012352D" w:rsidRPr="0012352D">
        <w:t>Hotel Casino de al menos 4 estrellas, de no menos de 50 habitaciones, y centro de eventos</w:t>
      </w:r>
      <w:r>
        <w:t>.</w:t>
      </w:r>
    </w:p>
    <w:p w14:paraId="2C63BB4F" w14:textId="77777777" w:rsidR="00F71BCC" w:rsidRDefault="00F71BCC" w:rsidP="00CD1801">
      <w:pPr>
        <w:pStyle w:val="nNormal"/>
        <w:numPr>
          <w:ilvl w:val="0"/>
          <w:numId w:val="19"/>
        </w:numPr>
        <w:ind w:left="1418"/>
      </w:pPr>
      <w:r>
        <w:t xml:space="preserve">Obras Existentes: </w:t>
      </w:r>
      <w:r w:rsidRPr="0012352D">
        <w:t>Las postulaciones que incluyan inmuebles ya existentes, serán considerados en el factor inversión, al valor de su avalúo fiscal, pudiendo el postulante demostrar hasta un 80% de la inversión mínima con las obras existentes de Casino y/o Hotel.</w:t>
      </w:r>
    </w:p>
    <w:p w14:paraId="457F32E3" w14:textId="0915870A" w:rsidR="00F71BCC" w:rsidRDefault="00F71BCC" w:rsidP="00CD1801">
      <w:pPr>
        <w:pStyle w:val="nNormal"/>
        <w:numPr>
          <w:ilvl w:val="0"/>
          <w:numId w:val="19"/>
        </w:numPr>
        <w:ind w:left="1418"/>
      </w:pPr>
      <w:r w:rsidRPr="00F71BCC">
        <w:t>Las obras complementarias del proyecto integral, y su relación física con la entrada del casino se establecerán en las bases técnicas relativas al proceso</w:t>
      </w:r>
    </w:p>
    <w:p w14:paraId="08D07777" w14:textId="4083B638" w:rsidR="00F71BCC" w:rsidRDefault="00F71BCC" w:rsidP="00946400">
      <w:pPr>
        <w:pStyle w:val="Ttulo3"/>
      </w:pPr>
      <w:bookmarkStart w:id="15" w:name="_Toc448326239"/>
      <w:r>
        <w:t>Comuna de Puerto Varas</w:t>
      </w:r>
      <w:bookmarkEnd w:id="15"/>
    </w:p>
    <w:p w14:paraId="7C901CD6" w14:textId="36EB1196" w:rsidR="006A310C" w:rsidRDefault="006A310C" w:rsidP="00CD1801">
      <w:pPr>
        <w:pStyle w:val="nNormal"/>
        <w:numPr>
          <w:ilvl w:val="0"/>
          <w:numId w:val="20"/>
        </w:numPr>
        <w:ind w:left="1418"/>
      </w:pPr>
      <w:r>
        <w:t>Oferta Económica Mínima Garantizada:</w:t>
      </w:r>
      <w:r>
        <w:tab/>
      </w:r>
      <w:r w:rsidR="00F71BCC">
        <w:t>92</w:t>
      </w:r>
      <w:r>
        <w:t>.000 Unidades de Fomento anuales.</w:t>
      </w:r>
    </w:p>
    <w:p w14:paraId="3FAF492F" w14:textId="77777777" w:rsidR="006A310C" w:rsidRDefault="006A310C" w:rsidP="00CD1801">
      <w:pPr>
        <w:pStyle w:val="nNormal"/>
        <w:numPr>
          <w:ilvl w:val="0"/>
          <w:numId w:val="20"/>
        </w:numPr>
        <w:ind w:left="1418"/>
      </w:pPr>
      <w:r>
        <w:t>Porcentaje de los trabajadores del actual concesionario que continuarán prestando servicios: al menos un 80%.</w:t>
      </w:r>
    </w:p>
    <w:p w14:paraId="5CECF667" w14:textId="77777777" w:rsidR="00F71BCC" w:rsidRDefault="006A310C" w:rsidP="00CD1801">
      <w:pPr>
        <w:pStyle w:val="nNormal"/>
        <w:numPr>
          <w:ilvl w:val="0"/>
          <w:numId w:val="20"/>
        </w:numPr>
        <w:ind w:left="1418"/>
      </w:pPr>
      <w:r>
        <w:lastRenderedPageBreak/>
        <w:t xml:space="preserve">Condiciones de construcción o ampliación de la infraestructura turística: </w:t>
      </w:r>
      <w:r w:rsidR="00F71BCC" w:rsidRPr="00F71BCC">
        <w:t>Hotel 5 estrellas, restaurante, estacionamiento y centro de eventos.</w:t>
      </w:r>
    </w:p>
    <w:p w14:paraId="43C04A4A" w14:textId="09B5A337" w:rsidR="00F71BCC" w:rsidRDefault="00F71BCC" w:rsidP="00CD1801">
      <w:pPr>
        <w:pStyle w:val="nNormal"/>
        <w:numPr>
          <w:ilvl w:val="0"/>
          <w:numId w:val="20"/>
        </w:numPr>
        <w:ind w:left="1418"/>
      </w:pPr>
      <w:r>
        <w:t xml:space="preserve">Obras Existentes: </w:t>
      </w:r>
      <w:r w:rsidRPr="0012352D">
        <w:t>Las postulaciones que incluyan inmuebles ya existentes, serán considerados en el factor inversión, al valor de su avalúo fiscal, pudiendo el postulante demostrar hasta un 80% de la inversión mínima con las obras existentes de Casino y/o Hotel.</w:t>
      </w:r>
    </w:p>
    <w:p w14:paraId="2880B6FE" w14:textId="184327A2" w:rsidR="00F71BCC" w:rsidRDefault="00F71BCC" w:rsidP="00946400">
      <w:pPr>
        <w:pStyle w:val="Ttulo3"/>
      </w:pPr>
      <w:bookmarkStart w:id="16" w:name="_Toc448326240"/>
      <w:r>
        <w:t>Comuna de Puerto Natales</w:t>
      </w:r>
      <w:bookmarkEnd w:id="16"/>
    </w:p>
    <w:p w14:paraId="6D1CC0D1" w14:textId="019014C8" w:rsidR="006A310C" w:rsidRDefault="006A310C" w:rsidP="00CD1801">
      <w:pPr>
        <w:pStyle w:val="nNormal"/>
        <w:numPr>
          <w:ilvl w:val="0"/>
          <w:numId w:val="21"/>
        </w:numPr>
        <w:ind w:left="1418"/>
      </w:pPr>
      <w:r>
        <w:t>Oferta Económica Mínima Garantizada:</w:t>
      </w:r>
      <w:r>
        <w:tab/>
      </w:r>
      <w:r w:rsidR="00F71BCC">
        <w:t>14</w:t>
      </w:r>
      <w:r>
        <w:t>.000 Unidades de Fomento anuales.</w:t>
      </w:r>
    </w:p>
    <w:p w14:paraId="031E1162" w14:textId="77777777" w:rsidR="006A310C" w:rsidRDefault="006A310C" w:rsidP="00CD1801">
      <w:pPr>
        <w:pStyle w:val="nNormal"/>
        <w:numPr>
          <w:ilvl w:val="0"/>
          <w:numId w:val="21"/>
        </w:numPr>
        <w:ind w:left="1418"/>
      </w:pPr>
      <w:r>
        <w:t>Porcentaje de los trabajadores del actual concesionario que continuarán prestando servicios: al menos un 80%.</w:t>
      </w:r>
    </w:p>
    <w:p w14:paraId="338D8F08" w14:textId="4C3A5453" w:rsidR="006A310C" w:rsidRDefault="006A310C" w:rsidP="00CD1801">
      <w:pPr>
        <w:pStyle w:val="nNormal"/>
        <w:numPr>
          <w:ilvl w:val="0"/>
          <w:numId w:val="21"/>
        </w:numPr>
        <w:ind w:left="1418"/>
      </w:pPr>
      <w:r>
        <w:t xml:space="preserve">Condiciones de construcción o ampliación de la infraestructura turística: </w:t>
      </w:r>
      <w:r w:rsidR="00F71BCC">
        <w:t>Centro de eventos con capacidad para, al menos, 300 personas</w:t>
      </w:r>
      <w:r>
        <w:t>.</w:t>
      </w:r>
    </w:p>
    <w:p w14:paraId="74C1C8AB" w14:textId="77777777" w:rsidR="00F71BCC" w:rsidRDefault="00F71BCC" w:rsidP="006A7A0E"/>
    <w:p w14:paraId="7B94770E" w14:textId="780FF7AE" w:rsidR="006C6E0F" w:rsidRDefault="006C6E0F" w:rsidP="006A7A0E">
      <w:r>
        <w:t xml:space="preserve">El cumplimiento de las condiciones especiales, de acuerdo a lo dispuesto en el artículo </w:t>
      </w:r>
      <w:r w:rsidR="00913DC4">
        <w:t xml:space="preserve">Primero </w:t>
      </w:r>
      <w:r>
        <w:t xml:space="preserve">º Transitorio del Reglamento, constituye </w:t>
      </w:r>
      <w:r w:rsidR="00791E15" w:rsidRPr="00B1576D">
        <w:t>un requisito</w:t>
      </w:r>
      <w:r>
        <w:t xml:space="preserve"> esencial para  evalua</w:t>
      </w:r>
      <w:r w:rsidR="00913DC4">
        <w:t>r</w:t>
      </w:r>
      <w:r>
        <w:t>la Oferta Técnica en los términos que se define en las presentes Bases y en mayor detalle en la Metodología de Evaluación anexa.</w:t>
      </w:r>
    </w:p>
    <w:p w14:paraId="09A83F16" w14:textId="77777777" w:rsidR="00574475" w:rsidRPr="00B1576D" w:rsidRDefault="006C6E0F" w:rsidP="00946400">
      <w:pPr>
        <w:pStyle w:val="Ttulo2"/>
      </w:pPr>
      <w:bookmarkStart w:id="17" w:name="_Toc447791978"/>
      <w:bookmarkStart w:id="18" w:name="_Toc448326241"/>
      <w:r>
        <w:t>Comunicación durante el Proceso de Otorgamiento de un Permiso de Operación</w:t>
      </w:r>
      <w:bookmarkEnd w:id="17"/>
      <w:bookmarkEnd w:id="18"/>
    </w:p>
    <w:p w14:paraId="3C5EB3D0" w14:textId="2F180775" w:rsidR="00913DC4" w:rsidRDefault="00913DC4" w:rsidP="00913DC4">
      <w:r>
        <w:t xml:space="preserve">Desde la dictación de la Resolución de Apertura, que declara abierto el proceso de otorgamiento o de renovación de permisos de operación, y durante todo el período de evaluación, se deberá mantener </w:t>
      </w:r>
      <w:r w:rsidR="005439D9">
        <w:t>un especial cuidado</w:t>
      </w:r>
      <w:r w:rsidR="00C070DF">
        <w:t xml:space="preserve"> respecto al cumplimiento de </w:t>
      </w:r>
      <w:r>
        <w:t xml:space="preserve">la normativa vigente en </w:t>
      </w:r>
      <w:r w:rsidR="005439D9">
        <w:t xml:space="preserve">materia de </w:t>
      </w:r>
      <w:r>
        <w:t xml:space="preserve">comunicación entre los funcionarios de la Superintendencia y las sociedades interesadas y oferentes, sean éstos potenciales o que efectivamente hayan presentado ofertas. Adicionalmente, </w:t>
      </w:r>
      <w:r w:rsidR="005439D9">
        <w:t>s</w:t>
      </w:r>
      <w:r>
        <w:t>in perjuicio de lo señalado, la relación entre las sociedades interesadas y oferentes mencionados y la Supe</w:t>
      </w:r>
      <w:r w:rsidR="00C070DF">
        <w:t>rintendencia y sus funcionarios</w:t>
      </w:r>
      <w:r>
        <w:t xml:space="preserve"> se ajustará a lo que disponga una circular que </w:t>
      </w:r>
      <w:r w:rsidR="005439D9">
        <w:t xml:space="preserve">se </w:t>
      </w:r>
      <w:r>
        <w:t>dictará con los protocolos que se deberán seguir para efectos de cautelar el correcto desarrollo del Proceso de otorgamiento en lo que refiere a las relaciones antes aludidas. Lo anterior, es sin perjuicio de lo señalado en el inciso final de los artículos 18 y 21, de la Ley de Casinos</w:t>
      </w:r>
      <w:r w:rsidR="005439D9">
        <w:t xml:space="preserve"> </w:t>
      </w:r>
      <w:r>
        <w:t>N° 19.995 y artículos 12 letra a) y 23 del Reglamento.</w:t>
      </w:r>
    </w:p>
    <w:p w14:paraId="182505E3" w14:textId="77777777" w:rsidR="00913DC4" w:rsidRDefault="00913DC4" w:rsidP="00913DC4"/>
    <w:p w14:paraId="6EFE5841" w14:textId="5F6FA152" w:rsidR="00913DC4" w:rsidRDefault="00C070DF" w:rsidP="00913DC4">
      <w:r>
        <w:t>Para</w:t>
      </w:r>
      <w:r w:rsidR="00913DC4">
        <w:t xml:space="preserve"> brindar soporte técnico para el Sistema Informático de Postulación a un Permiso de Operación (SOPO-SCJ), la Superintendencia habilitará una mesa de ayuda para dar soporte técnico a los usuarios del aplicativo, de la forma que se define en el “Manual de Usuarios del Sistema Informático de postul</w:t>
      </w:r>
      <w:r>
        <w:t>ación a un permiso de operación</w:t>
      </w:r>
      <w:r w:rsidR="00913DC4">
        <w:t>”</w:t>
      </w:r>
      <w:r>
        <w:t>.</w:t>
      </w:r>
      <w:r w:rsidR="00913DC4">
        <w:t xml:space="preserve"> </w:t>
      </w:r>
    </w:p>
    <w:p w14:paraId="071CCFB1" w14:textId="77777777" w:rsidR="00574475" w:rsidRPr="00B1576D" w:rsidRDefault="006C6E0F" w:rsidP="00946400">
      <w:pPr>
        <w:pStyle w:val="Ttulo2"/>
      </w:pPr>
      <w:bookmarkStart w:id="19" w:name="_Toc447791979"/>
      <w:bookmarkStart w:id="20" w:name="_Toc448326242"/>
      <w:r>
        <w:t>Aceptación de las Bases Técnicas</w:t>
      </w:r>
      <w:bookmarkEnd w:id="19"/>
      <w:bookmarkEnd w:id="20"/>
    </w:p>
    <w:p w14:paraId="77585EFD" w14:textId="61443683" w:rsidR="00574475" w:rsidRPr="00B1576D" w:rsidRDefault="00574475" w:rsidP="006A7A0E">
      <w:pPr>
        <w:rPr>
          <w:lang w:val="es-ES"/>
        </w:rPr>
      </w:pPr>
      <w:r w:rsidRPr="00B1576D">
        <w:rPr>
          <w:lang w:val="es-ES"/>
        </w:rPr>
        <w:lastRenderedPageBreak/>
        <w:t xml:space="preserve">La presentación de las ofertas técnica y económica </w:t>
      </w:r>
      <w:r w:rsidR="00913DC4">
        <w:rPr>
          <w:lang w:val="es-ES"/>
        </w:rPr>
        <w:t xml:space="preserve">así como </w:t>
      </w:r>
      <w:r w:rsidRPr="00B1576D">
        <w:rPr>
          <w:lang w:val="es-ES"/>
        </w:rPr>
        <w:t xml:space="preserve"> la documentación exigida en estas Bases implica la aceptación pura y simple por la sociedad postulante de todas y cada una de las disposiciones contenidas en las mismas, sin necesidad de declaración expresa en tal sentido. Conforme a lo anterior, el presente proceso se llevará con estricto apego a los Principios de Igualdad de los Oferentes y de </w:t>
      </w:r>
      <w:r w:rsidR="00221EEF" w:rsidRPr="00B1576D">
        <w:rPr>
          <w:lang w:val="es-ES"/>
        </w:rPr>
        <w:t xml:space="preserve">estricta sujeción </w:t>
      </w:r>
      <w:r w:rsidRPr="00B1576D">
        <w:rPr>
          <w:lang w:val="es-ES"/>
        </w:rPr>
        <w:t>a las Bases.</w:t>
      </w:r>
    </w:p>
    <w:p w14:paraId="1440F7C4" w14:textId="77777777" w:rsidR="005D4D29" w:rsidRPr="00B1576D" w:rsidRDefault="006C6E0F" w:rsidP="00946400">
      <w:pPr>
        <w:pStyle w:val="Ttulo2"/>
      </w:pPr>
      <w:bookmarkStart w:id="21" w:name="_Toc447791980"/>
      <w:bookmarkStart w:id="22" w:name="_Toc448326243"/>
      <w:r>
        <w:t>Cronograma de Actividades</w:t>
      </w:r>
      <w:bookmarkEnd w:id="21"/>
      <w:bookmarkEnd w:id="22"/>
    </w:p>
    <w:p w14:paraId="1B6DC464" w14:textId="0BEF1B2C" w:rsidR="00221EEF" w:rsidRDefault="005D4D29" w:rsidP="006A7A0E">
      <w:pPr>
        <w:rPr>
          <w:lang w:val="es-ES"/>
        </w:rPr>
      </w:pPr>
      <w:r w:rsidRPr="00B1576D">
        <w:rPr>
          <w:lang w:val="es-ES"/>
        </w:rPr>
        <w:t xml:space="preserve">El </w:t>
      </w:r>
      <w:r w:rsidR="008F2F7E" w:rsidRPr="00B1576D">
        <w:rPr>
          <w:lang w:val="es-ES"/>
        </w:rPr>
        <w:t>c</w:t>
      </w:r>
      <w:r w:rsidRPr="00B1576D">
        <w:rPr>
          <w:lang w:val="es-ES"/>
        </w:rPr>
        <w:t xml:space="preserve">ronograma de </w:t>
      </w:r>
      <w:r w:rsidR="008F2F7E" w:rsidRPr="00B1576D">
        <w:rPr>
          <w:lang w:val="es-ES"/>
        </w:rPr>
        <w:t>a</w:t>
      </w:r>
      <w:r w:rsidRPr="00B1576D">
        <w:rPr>
          <w:lang w:val="es-ES"/>
        </w:rPr>
        <w:t xml:space="preserve">ctividades </w:t>
      </w:r>
      <w:r w:rsidR="006C14D3" w:rsidRPr="00B1576D">
        <w:rPr>
          <w:lang w:val="es-ES"/>
        </w:rPr>
        <w:t xml:space="preserve">establece la forma, </w:t>
      </w:r>
      <w:r w:rsidR="00913DC4">
        <w:rPr>
          <w:lang w:val="es-ES"/>
        </w:rPr>
        <w:t xml:space="preserve">actuaciones, plazos </w:t>
      </w:r>
      <w:r w:rsidRPr="00B1576D">
        <w:rPr>
          <w:lang w:val="es-ES"/>
        </w:rPr>
        <w:t>y lugares en que se llevará</w:t>
      </w:r>
      <w:r w:rsidR="006C14D3" w:rsidRPr="00B1576D">
        <w:rPr>
          <w:lang w:val="es-ES"/>
        </w:rPr>
        <w:t>n</w:t>
      </w:r>
      <w:r w:rsidRPr="00B1576D">
        <w:rPr>
          <w:lang w:val="es-ES"/>
        </w:rPr>
        <w:t xml:space="preserve"> a cabo</w:t>
      </w:r>
      <w:r w:rsidR="006C14D3" w:rsidRPr="00B1576D">
        <w:rPr>
          <w:lang w:val="es-ES"/>
        </w:rPr>
        <w:t xml:space="preserve"> las etapas del</w:t>
      </w:r>
      <w:r w:rsidRPr="00B1576D">
        <w:rPr>
          <w:lang w:val="es-ES"/>
        </w:rPr>
        <w:t xml:space="preserve">  </w:t>
      </w:r>
      <w:r w:rsidR="00913DC4">
        <w:rPr>
          <w:lang w:val="es-ES"/>
        </w:rPr>
        <w:t>P</w:t>
      </w:r>
      <w:r w:rsidRPr="00B1576D">
        <w:rPr>
          <w:lang w:val="es-ES"/>
        </w:rPr>
        <w:t xml:space="preserve">roceso </w:t>
      </w:r>
      <w:r w:rsidR="00913DC4">
        <w:rPr>
          <w:lang w:val="es-ES"/>
        </w:rPr>
        <w:t xml:space="preserve"> según se </w:t>
      </w:r>
      <w:r w:rsidR="00221EEF" w:rsidRPr="00B1576D">
        <w:rPr>
          <w:lang w:val="es-ES"/>
        </w:rPr>
        <w:t xml:space="preserve"> detalla en la siguiente tabla:</w:t>
      </w:r>
    </w:p>
    <w:p w14:paraId="5D13EDEB" w14:textId="77777777" w:rsidR="004E4BC7" w:rsidRDefault="004E4BC7" w:rsidP="006A7A0E">
      <w:pPr>
        <w:rPr>
          <w:lang w:val="es-ES"/>
        </w:rPr>
      </w:pPr>
    </w:p>
    <w:tbl>
      <w:tblPr>
        <w:tblStyle w:val="Tablaconcuadrcula"/>
        <w:tblW w:w="0" w:type="auto"/>
        <w:tblLook w:val="04A0" w:firstRow="1" w:lastRow="0" w:firstColumn="1" w:lastColumn="0" w:noHBand="0" w:noVBand="1"/>
      </w:tblPr>
      <w:tblGrid>
        <w:gridCol w:w="1243"/>
        <w:gridCol w:w="1700"/>
        <w:gridCol w:w="1700"/>
        <w:gridCol w:w="4753"/>
      </w:tblGrid>
      <w:tr w:rsidR="009C7B51" w14:paraId="76026B15" w14:textId="77777777" w:rsidTr="004E4BC7">
        <w:tc>
          <w:tcPr>
            <w:tcW w:w="1555" w:type="dxa"/>
          </w:tcPr>
          <w:p w14:paraId="609B360C" w14:textId="77777777" w:rsidR="004E4BC7" w:rsidRDefault="004E4BC7" w:rsidP="006A7A0E">
            <w:pPr>
              <w:rPr>
                <w:lang w:val="es-ES"/>
              </w:rPr>
            </w:pPr>
            <w:r>
              <w:rPr>
                <w:lang w:val="es-ES"/>
              </w:rPr>
              <w:t>Etapa</w:t>
            </w:r>
          </w:p>
        </w:tc>
        <w:tc>
          <w:tcPr>
            <w:tcW w:w="3402" w:type="dxa"/>
          </w:tcPr>
          <w:p w14:paraId="3D7556DB" w14:textId="77777777" w:rsidR="004E4BC7" w:rsidRDefault="004E4BC7" w:rsidP="006A7A0E">
            <w:pPr>
              <w:rPr>
                <w:lang w:val="es-ES"/>
              </w:rPr>
            </w:pPr>
            <w:r>
              <w:rPr>
                <w:lang w:val="es-ES"/>
              </w:rPr>
              <w:t>Actividad</w:t>
            </w:r>
          </w:p>
        </w:tc>
        <w:tc>
          <w:tcPr>
            <w:tcW w:w="1701" w:type="dxa"/>
          </w:tcPr>
          <w:p w14:paraId="5991E9FF" w14:textId="77777777" w:rsidR="004E4BC7" w:rsidRDefault="004E4BC7" w:rsidP="006A7A0E">
            <w:pPr>
              <w:rPr>
                <w:lang w:val="es-ES"/>
              </w:rPr>
            </w:pPr>
            <w:r>
              <w:rPr>
                <w:lang w:val="es-ES"/>
              </w:rPr>
              <w:t>Fecha o plazo</w:t>
            </w:r>
          </w:p>
        </w:tc>
        <w:tc>
          <w:tcPr>
            <w:tcW w:w="2750" w:type="dxa"/>
          </w:tcPr>
          <w:p w14:paraId="4DCABEB1" w14:textId="77777777" w:rsidR="004E4BC7" w:rsidRDefault="004E4BC7" w:rsidP="006A7A0E">
            <w:pPr>
              <w:rPr>
                <w:lang w:val="es-ES"/>
              </w:rPr>
            </w:pPr>
            <w:r>
              <w:rPr>
                <w:lang w:val="es-ES"/>
              </w:rPr>
              <w:t>Lugar</w:t>
            </w:r>
          </w:p>
        </w:tc>
      </w:tr>
      <w:tr w:rsidR="009C7B51" w14:paraId="75B23F48" w14:textId="77777777" w:rsidTr="004E4BC7">
        <w:tc>
          <w:tcPr>
            <w:tcW w:w="1555" w:type="dxa"/>
            <w:vMerge w:val="restart"/>
          </w:tcPr>
          <w:p w14:paraId="55D2FC37" w14:textId="25BBD502" w:rsidR="00FA6458" w:rsidRDefault="00FA6458" w:rsidP="00C070DF">
            <w:pPr>
              <w:ind w:left="0"/>
              <w:rPr>
                <w:lang w:val="es-ES"/>
              </w:rPr>
            </w:pPr>
            <w:r>
              <w:rPr>
                <w:lang w:val="es-ES"/>
              </w:rPr>
              <w:t>Preparación de las Ofertas</w:t>
            </w:r>
          </w:p>
        </w:tc>
        <w:tc>
          <w:tcPr>
            <w:tcW w:w="3402" w:type="dxa"/>
          </w:tcPr>
          <w:p w14:paraId="1A229FED" w14:textId="6EF228C5" w:rsidR="00FA6458" w:rsidRDefault="00FA6458" w:rsidP="00C070DF">
            <w:pPr>
              <w:ind w:left="0"/>
              <w:rPr>
                <w:lang w:val="es-ES"/>
              </w:rPr>
            </w:pPr>
            <w:r>
              <w:rPr>
                <w:lang w:val="es-ES"/>
              </w:rPr>
              <w:t xml:space="preserve">Aprobación Bases Técnicas del proceso de otorgamiento del permiso de operación de un </w:t>
            </w:r>
            <w:r w:rsidR="00AD25D1">
              <w:rPr>
                <w:lang w:val="es-ES"/>
              </w:rPr>
              <w:t>c</w:t>
            </w:r>
            <w:r>
              <w:rPr>
                <w:lang w:val="es-ES"/>
              </w:rPr>
              <w:t xml:space="preserve">asino de juego en la comuna de </w:t>
            </w:r>
            <w:r w:rsidRPr="004E4BC7">
              <w:rPr>
                <w:highlight w:val="yellow"/>
                <w:lang w:val="es-ES"/>
              </w:rPr>
              <w:t>XXX</w:t>
            </w:r>
          </w:p>
        </w:tc>
        <w:tc>
          <w:tcPr>
            <w:tcW w:w="1701" w:type="dxa"/>
          </w:tcPr>
          <w:p w14:paraId="3D5E07B0" w14:textId="6A91B705" w:rsidR="00FA6458" w:rsidRDefault="00C070DF" w:rsidP="00C070DF">
            <w:pPr>
              <w:ind w:left="0"/>
              <w:rPr>
                <w:lang w:val="es-ES"/>
              </w:rPr>
            </w:pPr>
            <w:r>
              <w:rPr>
                <w:lang w:val="es-ES"/>
              </w:rPr>
              <w:t>29</w:t>
            </w:r>
            <w:r w:rsidR="00FA6458">
              <w:rPr>
                <w:lang w:val="es-ES"/>
              </w:rPr>
              <w:t xml:space="preserve"> de Abril de 2016</w:t>
            </w:r>
          </w:p>
        </w:tc>
        <w:tc>
          <w:tcPr>
            <w:tcW w:w="2750" w:type="dxa"/>
          </w:tcPr>
          <w:p w14:paraId="1B6C3429" w14:textId="5B12F9D6" w:rsidR="00FA6458" w:rsidRDefault="00FA6458" w:rsidP="00C070DF">
            <w:pPr>
              <w:ind w:left="0"/>
              <w:rPr>
                <w:lang w:val="es-ES"/>
              </w:rPr>
            </w:pPr>
            <w:r>
              <w:rPr>
                <w:lang w:val="es-ES"/>
              </w:rPr>
              <w:t>Publicado en web S</w:t>
            </w:r>
            <w:r w:rsidR="00913DC4">
              <w:rPr>
                <w:lang w:val="es-ES"/>
              </w:rPr>
              <w:t>uperintendencia</w:t>
            </w:r>
            <w:r w:rsidR="007F6002">
              <w:rPr>
                <w:lang w:val="es-ES"/>
              </w:rPr>
              <w:t>:</w:t>
            </w:r>
          </w:p>
          <w:p w14:paraId="3B7A6323" w14:textId="77777777" w:rsidR="007F6002" w:rsidRDefault="007F6002" w:rsidP="007032EC">
            <w:pPr>
              <w:ind w:left="0"/>
              <w:rPr>
                <w:rFonts w:ascii="Calibri" w:hAnsi="Calibri" w:cs="Times New Roman"/>
                <w:sz w:val="22"/>
                <w:lang w:val="es-419"/>
              </w:rPr>
            </w:pPr>
            <w:hyperlink r:id="rId13" w:history="1">
              <w:r>
                <w:rPr>
                  <w:rStyle w:val="Hipervnculo"/>
                  <w:lang w:val="es-419"/>
                </w:rPr>
                <w:t>http://www.scj.gob.cl/otorgamiento/contexto.html</w:t>
              </w:r>
            </w:hyperlink>
            <w:r>
              <w:rPr>
                <w:lang w:val="es-419"/>
              </w:rPr>
              <w:t xml:space="preserve"> </w:t>
            </w:r>
          </w:p>
          <w:p w14:paraId="051127BF" w14:textId="77777777" w:rsidR="007F6002" w:rsidRPr="007032EC" w:rsidRDefault="007F6002" w:rsidP="00C070DF">
            <w:pPr>
              <w:ind w:left="0"/>
              <w:rPr>
                <w:lang w:val="es-419"/>
              </w:rPr>
            </w:pPr>
          </w:p>
          <w:p w14:paraId="2119CBF5" w14:textId="29322D62" w:rsidR="00FA6458" w:rsidRDefault="00FA6458" w:rsidP="00C070DF">
            <w:pPr>
              <w:ind w:left="0"/>
              <w:rPr>
                <w:lang w:val="es-ES"/>
              </w:rPr>
            </w:pPr>
            <w:r>
              <w:rPr>
                <w:lang w:val="es-ES"/>
              </w:rPr>
              <w:t>Retiro</w:t>
            </w:r>
            <w:r w:rsidR="00C070DF">
              <w:rPr>
                <w:lang w:val="es-ES"/>
              </w:rPr>
              <w:t>, en la fecha que señale la Resolución de Apertura,</w:t>
            </w:r>
            <w:r>
              <w:rPr>
                <w:lang w:val="es-ES"/>
              </w:rPr>
              <w:t xml:space="preserve"> en </w:t>
            </w:r>
            <w:r w:rsidR="00C070DF">
              <w:rPr>
                <w:lang w:val="es-ES"/>
              </w:rPr>
              <w:t xml:space="preserve">oficinas de la </w:t>
            </w:r>
            <w:r w:rsidR="00913DC4">
              <w:rPr>
                <w:lang w:val="es-ES"/>
              </w:rPr>
              <w:t xml:space="preserve">Superintendencia </w:t>
            </w:r>
            <w:r>
              <w:rPr>
                <w:lang w:val="es-ES"/>
              </w:rPr>
              <w:t xml:space="preserve"> Morandé 360, piso 11.</w:t>
            </w:r>
          </w:p>
        </w:tc>
      </w:tr>
      <w:tr w:rsidR="009C7B51" w14:paraId="75D921DE" w14:textId="77777777" w:rsidTr="004E4BC7">
        <w:tc>
          <w:tcPr>
            <w:tcW w:w="1555" w:type="dxa"/>
            <w:vMerge/>
          </w:tcPr>
          <w:p w14:paraId="52329FB9" w14:textId="7E2E8D98" w:rsidR="00FA6458" w:rsidRDefault="00FA6458" w:rsidP="006A7A0E">
            <w:pPr>
              <w:rPr>
                <w:lang w:val="es-ES"/>
              </w:rPr>
            </w:pPr>
          </w:p>
        </w:tc>
        <w:tc>
          <w:tcPr>
            <w:tcW w:w="3402" w:type="dxa"/>
          </w:tcPr>
          <w:p w14:paraId="0304F037" w14:textId="77777777" w:rsidR="00C070DF" w:rsidRDefault="00FA6458" w:rsidP="00C070DF">
            <w:pPr>
              <w:ind w:left="0"/>
              <w:rPr>
                <w:lang w:val="es-ES"/>
              </w:rPr>
            </w:pPr>
            <w:r>
              <w:rPr>
                <w:lang w:val="es-ES"/>
              </w:rPr>
              <w:t>R</w:t>
            </w:r>
            <w:r w:rsidRPr="00911A24">
              <w:rPr>
                <w:lang w:val="es-ES"/>
              </w:rPr>
              <w:t xml:space="preserve">esolución </w:t>
            </w:r>
            <w:r w:rsidR="00913DC4">
              <w:rPr>
                <w:lang w:val="es-ES"/>
              </w:rPr>
              <w:t xml:space="preserve">que </w:t>
            </w:r>
            <w:r w:rsidRPr="00911A24">
              <w:rPr>
                <w:lang w:val="es-ES"/>
              </w:rPr>
              <w:t>declara  abierto el proceso de otorgamiento</w:t>
            </w:r>
            <w:r>
              <w:rPr>
                <w:lang w:val="es-ES"/>
              </w:rPr>
              <w:t xml:space="preserve"> del permiso de operación de un </w:t>
            </w:r>
            <w:r w:rsidR="00AD25D1">
              <w:rPr>
                <w:lang w:val="es-ES"/>
              </w:rPr>
              <w:t>c</w:t>
            </w:r>
            <w:r>
              <w:rPr>
                <w:lang w:val="es-ES"/>
              </w:rPr>
              <w:t xml:space="preserve">asino de Juego en la comuna de </w:t>
            </w:r>
            <w:r w:rsidRPr="00911A24">
              <w:rPr>
                <w:highlight w:val="yellow"/>
                <w:lang w:val="es-ES"/>
              </w:rPr>
              <w:t>XXX</w:t>
            </w:r>
            <w:r>
              <w:rPr>
                <w:lang w:val="es-ES"/>
              </w:rPr>
              <w:t xml:space="preserve">. Conteniendo </w:t>
            </w:r>
            <w:r w:rsidR="00913DC4">
              <w:rPr>
                <w:lang w:val="es-ES"/>
              </w:rPr>
              <w:t>a lo menos</w:t>
            </w:r>
            <w:r>
              <w:rPr>
                <w:lang w:val="es-ES"/>
              </w:rPr>
              <w:t>:</w:t>
            </w:r>
          </w:p>
          <w:p w14:paraId="1FE9FAC3" w14:textId="77777777" w:rsidR="00C070DF" w:rsidRDefault="00C070DF" w:rsidP="00C070DF">
            <w:pPr>
              <w:ind w:left="0"/>
              <w:rPr>
                <w:lang w:val="es-ES"/>
              </w:rPr>
            </w:pPr>
            <w:r w:rsidRPr="00C070DF">
              <w:rPr>
                <w:lang w:val="es-ES"/>
              </w:rPr>
              <w:t>-</w:t>
            </w:r>
            <w:r>
              <w:rPr>
                <w:lang w:val="es-ES"/>
              </w:rPr>
              <w:t xml:space="preserve"> </w:t>
            </w:r>
            <w:r w:rsidR="00FA6458" w:rsidRPr="00C070DF">
              <w:rPr>
                <w:lang w:val="es-ES"/>
              </w:rPr>
              <w:t>Fecha y lugar para el retiro de Bases Técnicas</w:t>
            </w:r>
          </w:p>
          <w:p w14:paraId="25ED2F9D" w14:textId="77777777" w:rsidR="007032EC" w:rsidRDefault="00C070DF" w:rsidP="00C070DF">
            <w:pPr>
              <w:ind w:left="0"/>
              <w:rPr>
                <w:lang w:val="es-ES"/>
              </w:rPr>
            </w:pPr>
            <w:r>
              <w:rPr>
                <w:lang w:val="es-ES"/>
              </w:rPr>
              <w:t xml:space="preserve">- </w:t>
            </w:r>
            <w:r w:rsidR="00FA6458" w:rsidRPr="00911A24">
              <w:rPr>
                <w:lang w:val="es-ES"/>
              </w:rPr>
              <w:t>Fecha hora y lugar de entrega de Ofertas Técnicas y Económicas.</w:t>
            </w:r>
          </w:p>
          <w:p w14:paraId="5173E362" w14:textId="763E23D7" w:rsidR="007032EC" w:rsidRPr="00911A24" w:rsidRDefault="007032EC" w:rsidP="00C070DF">
            <w:pPr>
              <w:ind w:left="0"/>
              <w:rPr>
                <w:lang w:val="es-ES"/>
              </w:rPr>
            </w:pPr>
          </w:p>
        </w:tc>
        <w:tc>
          <w:tcPr>
            <w:tcW w:w="1701" w:type="dxa"/>
          </w:tcPr>
          <w:p w14:paraId="093734B1" w14:textId="77777777" w:rsidR="00FA6458" w:rsidRDefault="00C070DF" w:rsidP="00C070DF">
            <w:pPr>
              <w:ind w:left="0"/>
              <w:rPr>
                <w:lang w:val="es-ES"/>
              </w:rPr>
            </w:pPr>
            <w:r>
              <w:rPr>
                <w:lang w:val="es-ES"/>
              </w:rPr>
              <w:lastRenderedPageBreak/>
              <w:t>02</w:t>
            </w:r>
            <w:r w:rsidR="00FA6458">
              <w:rPr>
                <w:lang w:val="es-ES"/>
              </w:rPr>
              <w:t xml:space="preserve"> de </w:t>
            </w:r>
            <w:r>
              <w:rPr>
                <w:lang w:val="es-ES"/>
              </w:rPr>
              <w:t>Mayo</w:t>
            </w:r>
            <w:r w:rsidR="00FA6458">
              <w:rPr>
                <w:lang w:val="es-ES"/>
              </w:rPr>
              <w:t xml:space="preserve"> de 2016</w:t>
            </w:r>
          </w:p>
          <w:p w14:paraId="65E70DDA" w14:textId="521F23F9" w:rsidR="007032EC" w:rsidRDefault="007032EC" w:rsidP="00C070DF">
            <w:pPr>
              <w:ind w:left="0"/>
              <w:rPr>
                <w:lang w:val="es-ES"/>
              </w:rPr>
            </w:pPr>
          </w:p>
        </w:tc>
        <w:tc>
          <w:tcPr>
            <w:tcW w:w="2750" w:type="dxa"/>
          </w:tcPr>
          <w:p w14:paraId="6C0B4992" w14:textId="77777777" w:rsidR="00FA6458" w:rsidRDefault="00FA6458" w:rsidP="00C070DF">
            <w:pPr>
              <w:ind w:left="0"/>
              <w:rPr>
                <w:lang w:val="es-ES"/>
              </w:rPr>
            </w:pPr>
            <w:r>
              <w:rPr>
                <w:lang w:val="es-ES"/>
              </w:rPr>
              <w:t>Diario Oficial y Diario de circulación Nacional.</w:t>
            </w:r>
          </w:p>
          <w:p w14:paraId="08125D07" w14:textId="77777777" w:rsidR="00FA6458" w:rsidRDefault="00FA6458" w:rsidP="006A7A0E">
            <w:pPr>
              <w:rPr>
                <w:lang w:val="es-ES"/>
              </w:rPr>
            </w:pPr>
          </w:p>
          <w:p w14:paraId="07D0362A" w14:textId="77777777" w:rsidR="007F6002" w:rsidRDefault="00FA6458" w:rsidP="007032EC">
            <w:pPr>
              <w:ind w:left="0"/>
              <w:rPr>
                <w:lang w:val="es-ES"/>
              </w:rPr>
            </w:pPr>
            <w:r>
              <w:rPr>
                <w:lang w:val="es-ES"/>
              </w:rPr>
              <w:t xml:space="preserve">Publicado en web </w:t>
            </w:r>
            <w:r w:rsidR="005439D9">
              <w:rPr>
                <w:lang w:val="es-ES"/>
              </w:rPr>
              <w:t>Superintendencia</w:t>
            </w:r>
            <w:r w:rsidR="007F6002">
              <w:rPr>
                <w:lang w:val="es-ES"/>
              </w:rPr>
              <w:t>:</w:t>
            </w:r>
          </w:p>
          <w:p w14:paraId="42085836" w14:textId="59BA94CA" w:rsidR="007F6002" w:rsidRDefault="007F6002" w:rsidP="007032EC">
            <w:pPr>
              <w:ind w:left="0"/>
              <w:rPr>
                <w:rFonts w:ascii="Calibri" w:hAnsi="Calibri" w:cs="Times New Roman"/>
                <w:sz w:val="22"/>
                <w:lang w:val="es-419"/>
              </w:rPr>
            </w:pPr>
            <w:hyperlink r:id="rId14" w:history="1">
              <w:r>
                <w:rPr>
                  <w:rStyle w:val="Hipervnculo"/>
                  <w:lang w:val="es-419"/>
                </w:rPr>
                <w:t>http://www.scj.gob.cl/otorgamiento/contexto.html</w:t>
              </w:r>
            </w:hyperlink>
            <w:r>
              <w:rPr>
                <w:lang w:val="es-419"/>
              </w:rPr>
              <w:t xml:space="preserve"> </w:t>
            </w:r>
          </w:p>
          <w:p w14:paraId="735C3E19" w14:textId="77777777" w:rsidR="007F6002" w:rsidRPr="007032EC" w:rsidRDefault="007F6002" w:rsidP="00C070DF">
            <w:pPr>
              <w:ind w:left="0"/>
              <w:rPr>
                <w:lang w:val="es-419"/>
              </w:rPr>
            </w:pPr>
          </w:p>
          <w:p w14:paraId="64424944" w14:textId="77777777" w:rsidR="00FA6458" w:rsidRDefault="00FA6458" w:rsidP="006A7A0E">
            <w:pPr>
              <w:rPr>
                <w:lang w:val="es-ES"/>
              </w:rPr>
            </w:pPr>
          </w:p>
          <w:p w14:paraId="48F1DEF9" w14:textId="77777777" w:rsidR="007032EC" w:rsidRDefault="007032EC" w:rsidP="006A7A0E">
            <w:pPr>
              <w:rPr>
                <w:lang w:val="es-ES"/>
              </w:rPr>
            </w:pPr>
          </w:p>
          <w:p w14:paraId="0203D7A5" w14:textId="77777777" w:rsidR="007032EC" w:rsidRDefault="007032EC" w:rsidP="006A7A0E">
            <w:pPr>
              <w:rPr>
                <w:lang w:val="es-ES"/>
              </w:rPr>
            </w:pPr>
          </w:p>
          <w:p w14:paraId="6874789B" w14:textId="77777777" w:rsidR="007032EC" w:rsidRDefault="007032EC" w:rsidP="006A7A0E">
            <w:pPr>
              <w:rPr>
                <w:lang w:val="es-ES"/>
              </w:rPr>
            </w:pPr>
          </w:p>
          <w:p w14:paraId="5743BDD5" w14:textId="77777777" w:rsidR="007032EC" w:rsidRDefault="007032EC" w:rsidP="006A7A0E">
            <w:pPr>
              <w:rPr>
                <w:lang w:val="es-ES"/>
              </w:rPr>
            </w:pPr>
          </w:p>
          <w:p w14:paraId="5CD677F5" w14:textId="77777777" w:rsidR="007032EC" w:rsidRDefault="007032EC" w:rsidP="006A7A0E">
            <w:pPr>
              <w:rPr>
                <w:lang w:val="es-ES"/>
              </w:rPr>
            </w:pPr>
          </w:p>
          <w:p w14:paraId="2AC4DB34" w14:textId="77777777" w:rsidR="007032EC" w:rsidRDefault="007032EC" w:rsidP="006A7A0E">
            <w:pPr>
              <w:rPr>
                <w:lang w:val="es-ES"/>
              </w:rPr>
            </w:pPr>
          </w:p>
          <w:p w14:paraId="5D1A34A1" w14:textId="77777777" w:rsidR="007032EC" w:rsidRDefault="007032EC" w:rsidP="006A7A0E">
            <w:pPr>
              <w:rPr>
                <w:lang w:val="es-ES"/>
              </w:rPr>
            </w:pPr>
          </w:p>
          <w:p w14:paraId="5161DD0E" w14:textId="77777777" w:rsidR="007032EC" w:rsidRDefault="007032EC" w:rsidP="006A7A0E">
            <w:pPr>
              <w:rPr>
                <w:lang w:val="es-ES"/>
              </w:rPr>
            </w:pPr>
          </w:p>
          <w:p w14:paraId="326A3063" w14:textId="77777777" w:rsidR="007032EC" w:rsidRDefault="007032EC" w:rsidP="006A7A0E">
            <w:pPr>
              <w:rPr>
                <w:lang w:val="es-ES"/>
              </w:rPr>
            </w:pPr>
          </w:p>
          <w:p w14:paraId="442FB901" w14:textId="77777777" w:rsidR="007032EC" w:rsidRDefault="007032EC" w:rsidP="007032EC">
            <w:pPr>
              <w:ind w:left="0"/>
              <w:rPr>
                <w:lang w:val="es-ES"/>
              </w:rPr>
            </w:pPr>
          </w:p>
        </w:tc>
      </w:tr>
      <w:tr w:rsidR="009C7B51" w14:paraId="517C1C69" w14:textId="77777777" w:rsidTr="004E4BC7">
        <w:tc>
          <w:tcPr>
            <w:tcW w:w="1555" w:type="dxa"/>
            <w:vMerge/>
          </w:tcPr>
          <w:p w14:paraId="25F53EEE" w14:textId="34C73853" w:rsidR="00FA6458" w:rsidRDefault="00FA6458" w:rsidP="006A7A0E">
            <w:pPr>
              <w:rPr>
                <w:lang w:val="es-ES"/>
              </w:rPr>
            </w:pPr>
          </w:p>
        </w:tc>
        <w:tc>
          <w:tcPr>
            <w:tcW w:w="3402" w:type="dxa"/>
          </w:tcPr>
          <w:p w14:paraId="4C7BFEE9" w14:textId="77777777" w:rsidR="00FA6458" w:rsidRDefault="00FA6458" w:rsidP="00C070DF">
            <w:pPr>
              <w:ind w:left="0"/>
              <w:rPr>
                <w:lang w:val="es-ES"/>
              </w:rPr>
            </w:pPr>
            <w:r>
              <w:rPr>
                <w:lang w:val="es-ES"/>
              </w:rPr>
              <w:t>P</w:t>
            </w:r>
            <w:r w:rsidRPr="001B2846">
              <w:rPr>
                <w:lang w:val="es-ES"/>
              </w:rPr>
              <w:t xml:space="preserve">eríodo de consultas y solicitud de aclaraciones a las </w:t>
            </w:r>
            <w:r>
              <w:rPr>
                <w:lang w:val="es-ES"/>
              </w:rPr>
              <w:t>B</w:t>
            </w:r>
            <w:r w:rsidRPr="001B2846">
              <w:rPr>
                <w:lang w:val="es-ES"/>
              </w:rPr>
              <w:t>ases</w:t>
            </w:r>
          </w:p>
        </w:tc>
        <w:tc>
          <w:tcPr>
            <w:tcW w:w="1701" w:type="dxa"/>
          </w:tcPr>
          <w:p w14:paraId="4BEF114D" w14:textId="710BE6C3" w:rsidR="00FA6458" w:rsidRDefault="00913DC4" w:rsidP="00C070DF">
            <w:pPr>
              <w:ind w:left="0"/>
              <w:rPr>
                <w:lang w:val="es-ES"/>
              </w:rPr>
            </w:pPr>
            <w:r>
              <w:rPr>
                <w:lang w:val="es-ES"/>
              </w:rPr>
              <w:t xml:space="preserve">Hasta el </w:t>
            </w:r>
            <w:r w:rsidR="00C070DF">
              <w:rPr>
                <w:lang w:val="es-ES"/>
              </w:rPr>
              <w:t>16 de M</w:t>
            </w:r>
            <w:r w:rsidR="00FA6458">
              <w:rPr>
                <w:lang w:val="es-ES"/>
              </w:rPr>
              <w:t>ayo de 2016.</w:t>
            </w:r>
          </w:p>
        </w:tc>
        <w:tc>
          <w:tcPr>
            <w:tcW w:w="2750" w:type="dxa"/>
          </w:tcPr>
          <w:p w14:paraId="2D779CF4" w14:textId="4E96E51D" w:rsidR="00FA6458" w:rsidRDefault="00FA6458" w:rsidP="00C070DF">
            <w:pPr>
              <w:ind w:left="0"/>
              <w:rPr>
                <w:lang w:val="es-ES"/>
              </w:rPr>
            </w:pPr>
            <w:r>
              <w:rPr>
                <w:lang w:val="es-ES"/>
              </w:rPr>
              <w:t xml:space="preserve">Correo electrónico </w:t>
            </w:r>
            <w:hyperlink r:id="rId15" w:history="1">
              <w:r w:rsidR="00F55D84">
                <w:rPr>
                  <w:rStyle w:val="Hipervnculo"/>
                  <w:lang w:val="es-419"/>
                </w:rPr>
                <w:t>proceso2016@scj.gob.cl</w:t>
              </w:r>
            </w:hyperlink>
          </w:p>
          <w:p w14:paraId="60CCF848" w14:textId="77777777" w:rsidR="00FA6458" w:rsidRDefault="00FA6458" w:rsidP="006A7A0E">
            <w:pPr>
              <w:rPr>
                <w:lang w:val="es-ES"/>
              </w:rPr>
            </w:pPr>
          </w:p>
          <w:p w14:paraId="022C9014" w14:textId="77777777" w:rsidR="007F6002" w:rsidRDefault="00FA6458" w:rsidP="007032EC">
            <w:pPr>
              <w:ind w:left="0"/>
              <w:rPr>
                <w:lang w:val="en-US"/>
              </w:rPr>
            </w:pPr>
            <w:r w:rsidRPr="007032EC">
              <w:rPr>
                <w:lang w:val="en-US"/>
              </w:rPr>
              <w:t>Portal web S</w:t>
            </w:r>
            <w:r w:rsidR="00913DC4" w:rsidRPr="007032EC">
              <w:rPr>
                <w:lang w:val="en-US"/>
              </w:rPr>
              <w:t>uperintendencia</w:t>
            </w:r>
            <w:r w:rsidR="007F6002" w:rsidRPr="007032EC">
              <w:rPr>
                <w:lang w:val="en-US"/>
              </w:rPr>
              <w:t>:</w:t>
            </w:r>
          </w:p>
          <w:p w14:paraId="2BE0C176" w14:textId="029FF5C8" w:rsidR="007F6002" w:rsidRPr="007032EC" w:rsidRDefault="007F6002" w:rsidP="007032EC">
            <w:pPr>
              <w:ind w:left="0"/>
              <w:rPr>
                <w:rFonts w:ascii="Calibri" w:hAnsi="Calibri" w:cs="Times New Roman"/>
                <w:sz w:val="22"/>
                <w:lang w:val="en-US"/>
              </w:rPr>
            </w:pPr>
            <w:hyperlink r:id="rId16" w:history="1">
              <w:r w:rsidRPr="007032EC">
                <w:rPr>
                  <w:rStyle w:val="Hipervnculo"/>
                  <w:lang w:val="en-US"/>
                </w:rPr>
                <w:t>http://www.scj.gob.cl/otorgamiento/contexto.html</w:t>
              </w:r>
            </w:hyperlink>
            <w:r w:rsidRPr="007032EC">
              <w:rPr>
                <w:lang w:val="en-US"/>
              </w:rPr>
              <w:t xml:space="preserve"> </w:t>
            </w:r>
          </w:p>
          <w:p w14:paraId="552CD586" w14:textId="77777777" w:rsidR="007F6002" w:rsidRPr="007032EC" w:rsidRDefault="007F6002" w:rsidP="00C070DF">
            <w:pPr>
              <w:ind w:left="0"/>
              <w:rPr>
                <w:lang w:val="en-US"/>
              </w:rPr>
            </w:pPr>
          </w:p>
          <w:p w14:paraId="54AAE92D" w14:textId="77777777" w:rsidR="00C070DF" w:rsidRPr="007032EC" w:rsidRDefault="00C070DF" w:rsidP="00C070DF">
            <w:pPr>
              <w:ind w:left="0"/>
              <w:rPr>
                <w:lang w:val="en-US"/>
              </w:rPr>
            </w:pPr>
          </w:p>
          <w:p w14:paraId="0DFD824A" w14:textId="032F9D1C" w:rsidR="00FA6458" w:rsidRDefault="00FA6458" w:rsidP="00C070DF">
            <w:pPr>
              <w:ind w:left="0"/>
              <w:rPr>
                <w:lang w:val="es-ES"/>
              </w:rPr>
            </w:pPr>
            <w:r>
              <w:rPr>
                <w:lang w:val="es-ES"/>
              </w:rPr>
              <w:t>Oficina de Partes S</w:t>
            </w:r>
            <w:r w:rsidR="00913DC4">
              <w:rPr>
                <w:lang w:val="es-ES"/>
              </w:rPr>
              <w:t>uperintendencia</w:t>
            </w:r>
            <w:r>
              <w:rPr>
                <w:lang w:val="es-ES"/>
              </w:rPr>
              <w:t xml:space="preserve"> Morandé 360, piso 11.</w:t>
            </w:r>
          </w:p>
        </w:tc>
      </w:tr>
      <w:tr w:rsidR="009C7B51" w14:paraId="7B217324" w14:textId="77777777" w:rsidTr="004E4BC7">
        <w:tc>
          <w:tcPr>
            <w:tcW w:w="1555" w:type="dxa"/>
            <w:vMerge/>
          </w:tcPr>
          <w:p w14:paraId="215AC595" w14:textId="34086194" w:rsidR="00FA6458" w:rsidRDefault="00FA6458" w:rsidP="006A7A0E">
            <w:pPr>
              <w:rPr>
                <w:lang w:val="es-ES"/>
              </w:rPr>
            </w:pPr>
          </w:p>
        </w:tc>
        <w:tc>
          <w:tcPr>
            <w:tcW w:w="3402" w:type="dxa"/>
          </w:tcPr>
          <w:p w14:paraId="325AAC03" w14:textId="67227A99" w:rsidR="00FA6458" w:rsidRDefault="00FA6458" w:rsidP="00C070DF">
            <w:pPr>
              <w:ind w:left="0"/>
              <w:rPr>
                <w:lang w:val="es-ES"/>
              </w:rPr>
            </w:pPr>
            <w:r>
              <w:rPr>
                <w:lang w:val="es-ES"/>
              </w:rPr>
              <w:t xml:space="preserve">Aclaraciones de la </w:t>
            </w:r>
            <w:r w:rsidR="009C7B51">
              <w:rPr>
                <w:lang w:val="es-ES"/>
              </w:rPr>
              <w:t>Superintendencia</w:t>
            </w:r>
            <w:r>
              <w:rPr>
                <w:lang w:val="es-ES"/>
              </w:rPr>
              <w:t xml:space="preserve"> a consultas, o de oficio, a las Bases</w:t>
            </w:r>
          </w:p>
        </w:tc>
        <w:tc>
          <w:tcPr>
            <w:tcW w:w="1701" w:type="dxa"/>
          </w:tcPr>
          <w:p w14:paraId="5B85C27C" w14:textId="5B84D60E" w:rsidR="00FA6458" w:rsidRDefault="005439D9" w:rsidP="00C070DF">
            <w:pPr>
              <w:ind w:left="0"/>
              <w:rPr>
                <w:lang w:val="es-ES"/>
              </w:rPr>
            </w:pPr>
            <w:r>
              <w:rPr>
                <w:lang w:val="es-ES"/>
              </w:rPr>
              <w:t xml:space="preserve">Desde el </w:t>
            </w:r>
            <w:r w:rsidR="00C070DF">
              <w:rPr>
                <w:lang w:val="es-ES"/>
              </w:rPr>
              <w:t>17</w:t>
            </w:r>
            <w:r>
              <w:rPr>
                <w:lang w:val="es-ES"/>
              </w:rPr>
              <w:t xml:space="preserve"> de </w:t>
            </w:r>
            <w:r w:rsidR="00C070DF">
              <w:rPr>
                <w:lang w:val="es-ES"/>
              </w:rPr>
              <w:t>M</w:t>
            </w:r>
            <w:r>
              <w:rPr>
                <w:lang w:val="es-ES"/>
              </w:rPr>
              <w:t xml:space="preserve">ayo hasta el </w:t>
            </w:r>
            <w:r w:rsidR="00C070DF">
              <w:rPr>
                <w:lang w:val="es-ES"/>
              </w:rPr>
              <w:t xml:space="preserve">06 de Junio de </w:t>
            </w:r>
            <w:r w:rsidR="00FA6458">
              <w:rPr>
                <w:lang w:val="es-ES"/>
              </w:rPr>
              <w:t>2016</w:t>
            </w:r>
          </w:p>
        </w:tc>
        <w:tc>
          <w:tcPr>
            <w:tcW w:w="2750" w:type="dxa"/>
          </w:tcPr>
          <w:p w14:paraId="1F2C5F16" w14:textId="77777777" w:rsidR="007F6002" w:rsidRDefault="00FA6458" w:rsidP="007F6002">
            <w:pPr>
              <w:rPr>
                <w:rFonts w:ascii="Calibri" w:hAnsi="Calibri" w:cs="Times New Roman"/>
                <w:sz w:val="22"/>
                <w:lang w:val="es-419"/>
              </w:rPr>
            </w:pPr>
            <w:r>
              <w:rPr>
                <w:lang w:val="es-ES"/>
              </w:rPr>
              <w:t xml:space="preserve">Publicado en web </w:t>
            </w:r>
            <w:r w:rsidR="009C7B51">
              <w:rPr>
                <w:lang w:val="es-ES"/>
              </w:rPr>
              <w:t>Superintendencia</w:t>
            </w:r>
            <w:r w:rsidR="007F6002">
              <w:rPr>
                <w:lang w:val="es-ES"/>
              </w:rPr>
              <w:t xml:space="preserve">: </w:t>
            </w:r>
            <w:hyperlink r:id="rId17" w:history="1">
              <w:r w:rsidR="007F6002">
                <w:rPr>
                  <w:rStyle w:val="Hipervnculo"/>
                  <w:lang w:val="es-419"/>
                </w:rPr>
                <w:t>http://www.scj.gob.cl/otorgamiento/contexto.html</w:t>
              </w:r>
            </w:hyperlink>
            <w:r w:rsidR="007F6002">
              <w:rPr>
                <w:lang w:val="es-419"/>
              </w:rPr>
              <w:t xml:space="preserve"> </w:t>
            </w:r>
          </w:p>
          <w:p w14:paraId="5FBC30C7" w14:textId="0DE055D1" w:rsidR="00FA6458" w:rsidRDefault="00FA6458" w:rsidP="00C070DF">
            <w:pPr>
              <w:ind w:left="0"/>
              <w:rPr>
                <w:lang w:val="es-ES"/>
              </w:rPr>
            </w:pPr>
          </w:p>
          <w:p w14:paraId="51A835FB" w14:textId="77777777" w:rsidR="00C070DF" w:rsidRDefault="00C070DF" w:rsidP="00C070DF">
            <w:pPr>
              <w:ind w:left="0"/>
              <w:rPr>
                <w:lang w:val="es-ES"/>
              </w:rPr>
            </w:pPr>
          </w:p>
          <w:p w14:paraId="3582EF41" w14:textId="3D2BC968" w:rsidR="00C070DF" w:rsidRDefault="00C070DF" w:rsidP="00C070DF">
            <w:pPr>
              <w:ind w:left="0"/>
              <w:rPr>
                <w:lang w:val="es-ES"/>
              </w:rPr>
            </w:pPr>
            <w:r>
              <w:rPr>
                <w:lang w:val="es-ES"/>
              </w:rPr>
              <w:t>Distribuido a quienes se hayan registrado para retirar o descargar las Bases.</w:t>
            </w:r>
          </w:p>
        </w:tc>
      </w:tr>
      <w:tr w:rsidR="00FA6458" w14:paraId="093FA3F4" w14:textId="77777777" w:rsidTr="00B6707C">
        <w:tc>
          <w:tcPr>
            <w:tcW w:w="4957" w:type="dxa"/>
            <w:gridSpan w:val="2"/>
          </w:tcPr>
          <w:p w14:paraId="075820BA" w14:textId="77777777" w:rsidR="00C070DF" w:rsidRDefault="00FA6458" w:rsidP="00C070DF">
            <w:pPr>
              <w:ind w:left="0"/>
              <w:rPr>
                <w:lang w:val="es-ES"/>
              </w:rPr>
            </w:pPr>
            <w:r>
              <w:rPr>
                <w:lang w:val="es-ES"/>
              </w:rPr>
              <w:t xml:space="preserve">Audiencia de Presentación de Ofertas </w:t>
            </w:r>
            <w:r w:rsidR="009C7B51">
              <w:rPr>
                <w:lang w:val="es-ES"/>
              </w:rPr>
              <w:t>t</w:t>
            </w:r>
            <w:r>
              <w:rPr>
                <w:lang w:val="es-ES"/>
              </w:rPr>
              <w:t xml:space="preserve">écnicas y </w:t>
            </w:r>
            <w:r w:rsidR="009C7B51">
              <w:rPr>
                <w:lang w:val="es-ES"/>
              </w:rPr>
              <w:t>e</w:t>
            </w:r>
            <w:r>
              <w:rPr>
                <w:lang w:val="es-ES"/>
              </w:rPr>
              <w:t>conómicas</w:t>
            </w:r>
          </w:p>
          <w:p w14:paraId="571CC16B" w14:textId="286DC3F0" w:rsidR="00FA6458" w:rsidRPr="00C070DF" w:rsidRDefault="00C070DF" w:rsidP="00C070DF">
            <w:pPr>
              <w:rPr>
                <w:lang w:val="es-ES"/>
              </w:rPr>
            </w:pPr>
            <w:r w:rsidRPr="00C070DF">
              <w:rPr>
                <w:lang w:val="es-ES"/>
              </w:rPr>
              <w:t>-</w:t>
            </w:r>
            <w:r>
              <w:rPr>
                <w:lang w:val="es-ES"/>
              </w:rPr>
              <w:t xml:space="preserve"> </w:t>
            </w:r>
            <w:r w:rsidR="00FA6458" w:rsidRPr="00C070DF">
              <w:rPr>
                <w:lang w:val="es-ES"/>
              </w:rPr>
              <w:t>Se verificará el contenido de la Oferta Técnica.</w:t>
            </w:r>
          </w:p>
        </w:tc>
        <w:tc>
          <w:tcPr>
            <w:tcW w:w="1701" w:type="dxa"/>
          </w:tcPr>
          <w:p w14:paraId="05350722" w14:textId="02B5497A" w:rsidR="00FA6458" w:rsidRDefault="00C070DF" w:rsidP="00C070DF">
            <w:pPr>
              <w:ind w:left="0"/>
              <w:rPr>
                <w:lang w:val="es-ES"/>
              </w:rPr>
            </w:pPr>
            <w:r>
              <w:rPr>
                <w:lang w:val="es-ES"/>
              </w:rPr>
              <w:t>19</w:t>
            </w:r>
            <w:r w:rsidR="00FA6458">
              <w:rPr>
                <w:lang w:val="es-ES"/>
              </w:rPr>
              <w:t xml:space="preserve"> de Octubre de 2016, 11:00</w:t>
            </w:r>
          </w:p>
        </w:tc>
        <w:tc>
          <w:tcPr>
            <w:tcW w:w="2750" w:type="dxa"/>
          </w:tcPr>
          <w:p w14:paraId="76564217" w14:textId="77777777" w:rsidR="00FA6458" w:rsidRDefault="00FA6458" w:rsidP="00C070DF">
            <w:pPr>
              <w:ind w:left="0"/>
              <w:rPr>
                <w:lang w:val="es-ES"/>
              </w:rPr>
            </w:pPr>
            <w:r>
              <w:rPr>
                <w:lang w:val="es-ES"/>
              </w:rPr>
              <w:t>Superintendencia Morandé 360, piso 4</w:t>
            </w:r>
          </w:p>
          <w:p w14:paraId="5E5F4DFC" w14:textId="6632753F" w:rsidR="00CF7F6C" w:rsidRDefault="00CF7F6C" w:rsidP="00C070DF">
            <w:pPr>
              <w:ind w:left="0"/>
              <w:rPr>
                <w:lang w:val="es-ES"/>
              </w:rPr>
            </w:pPr>
            <w:r>
              <w:rPr>
                <w:lang w:val="es-ES"/>
              </w:rPr>
              <w:t>(u otro lugar por anunciar)</w:t>
            </w:r>
          </w:p>
        </w:tc>
      </w:tr>
      <w:tr w:rsidR="009C7B51" w14:paraId="2A4230B9" w14:textId="77777777" w:rsidTr="004E4BC7">
        <w:tc>
          <w:tcPr>
            <w:tcW w:w="1555" w:type="dxa"/>
            <w:vMerge w:val="restart"/>
          </w:tcPr>
          <w:p w14:paraId="69816E3A" w14:textId="165B74CD" w:rsidR="00D21BF7" w:rsidRDefault="00D21BF7" w:rsidP="00CF7F6C">
            <w:pPr>
              <w:ind w:left="0"/>
              <w:rPr>
                <w:lang w:val="es-ES"/>
              </w:rPr>
            </w:pPr>
            <w:r>
              <w:rPr>
                <w:lang w:val="es-ES"/>
              </w:rPr>
              <w:t>Evaluación Ofertas</w:t>
            </w:r>
          </w:p>
        </w:tc>
        <w:tc>
          <w:tcPr>
            <w:tcW w:w="3402" w:type="dxa"/>
          </w:tcPr>
          <w:p w14:paraId="256E95D1" w14:textId="77777777" w:rsidR="00D21BF7" w:rsidRPr="00D21BF7" w:rsidRDefault="00D21BF7" w:rsidP="00CF7F6C">
            <w:pPr>
              <w:ind w:left="0"/>
              <w:rPr>
                <w:lang w:val="es-ES"/>
              </w:rPr>
            </w:pPr>
            <w:r>
              <w:rPr>
                <w:lang w:val="es-ES"/>
              </w:rPr>
              <w:t>Proposición de Evaluación de las Ofertas Técnicas del Superintendente de Casinos de Juego al Consejo Resolutivo.</w:t>
            </w:r>
          </w:p>
        </w:tc>
        <w:tc>
          <w:tcPr>
            <w:tcW w:w="1701" w:type="dxa"/>
          </w:tcPr>
          <w:p w14:paraId="1E76383D" w14:textId="6FC6E63D" w:rsidR="00D21BF7" w:rsidRDefault="00D21BF7" w:rsidP="00CF7F6C">
            <w:pPr>
              <w:ind w:left="0"/>
              <w:rPr>
                <w:lang w:val="es-ES"/>
              </w:rPr>
            </w:pPr>
            <w:r>
              <w:rPr>
                <w:lang w:val="es-ES"/>
              </w:rPr>
              <w:t xml:space="preserve">Antes del </w:t>
            </w:r>
            <w:r w:rsidR="00CF7F6C">
              <w:rPr>
                <w:lang w:val="es-ES"/>
              </w:rPr>
              <w:t>10</w:t>
            </w:r>
            <w:r>
              <w:rPr>
                <w:lang w:val="es-ES"/>
              </w:rPr>
              <w:t xml:space="preserve"> de </w:t>
            </w:r>
            <w:r w:rsidR="00CF7F6C">
              <w:rPr>
                <w:lang w:val="es-ES"/>
              </w:rPr>
              <w:t>Abril</w:t>
            </w:r>
            <w:r>
              <w:rPr>
                <w:lang w:val="es-ES"/>
              </w:rPr>
              <w:t xml:space="preserve"> de 2017</w:t>
            </w:r>
          </w:p>
        </w:tc>
        <w:tc>
          <w:tcPr>
            <w:tcW w:w="2750" w:type="dxa"/>
          </w:tcPr>
          <w:p w14:paraId="38583050" w14:textId="3664D689" w:rsidR="00D21BF7" w:rsidRDefault="00D21BF7" w:rsidP="00CF7F6C">
            <w:pPr>
              <w:ind w:left="0"/>
              <w:rPr>
                <w:lang w:val="es-ES"/>
              </w:rPr>
            </w:pPr>
            <w:r>
              <w:rPr>
                <w:lang w:val="es-ES"/>
              </w:rPr>
              <w:t xml:space="preserve">Sesión del Consejo Resolutivo </w:t>
            </w:r>
          </w:p>
        </w:tc>
      </w:tr>
      <w:tr w:rsidR="009C7B51" w14:paraId="3FEC7716" w14:textId="77777777" w:rsidTr="004E4BC7">
        <w:tc>
          <w:tcPr>
            <w:tcW w:w="1555" w:type="dxa"/>
            <w:vMerge/>
          </w:tcPr>
          <w:p w14:paraId="485403DF" w14:textId="77777777" w:rsidR="00D21BF7" w:rsidRDefault="00D21BF7" w:rsidP="006A7A0E">
            <w:pPr>
              <w:rPr>
                <w:lang w:val="es-ES"/>
              </w:rPr>
            </w:pPr>
          </w:p>
        </w:tc>
        <w:tc>
          <w:tcPr>
            <w:tcW w:w="3402" w:type="dxa"/>
          </w:tcPr>
          <w:p w14:paraId="5A25539B" w14:textId="55870E86" w:rsidR="00D21BF7" w:rsidRDefault="00D21BF7" w:rsidP="00CF7F6C">
            <w:pPr>
              <w:ind w:left="0"/>
              <w:rPr>
                <w:lang w:val="es-ES"/>
              </w:rPr>
            </w:pPr>
            <w:r>
              <w:rPr>
                <w:lang w:val="es-ES"/>
              </w:rPr>
              <w:t xml:space="preserve">Ratificación o solicitud de revisión o término del </w:t>
            </w:r>
            <w:r w:rsidR="009C7B51">
              <w:rPr>
                <w:lang w:val="es-ES"/>
              </w:rPr>
              <w:t>P</w:t>
            </w:r>
            <w:r>
              <w:rPr>
                <w:lang w:val="es-ES"/>
              </w:rPr>
              <w:t>roceso, por parte del Consejo Resolutivo.</w:t>
            </w:r>
          </w:p>
        </w:tc>
        <w:tc>
          <w:tcPr>
            <w:tcW w:w="1701" w:type="dxa"/>
          </w:tcPr>
          <w:p w14:paraId="65055A17" w14:textId="77777777" w:rsidR="00D21BF7" w:rsidRDefault="00D21BF7" w:rsidP="00CF7F6C">
            <w:pPr>
              <w:ind w:left="0"/>
              <w:rPr>
                <w:lang w:val="es-ES"/>
              </w:rPr>
            </w:pPr>
            <w:r>
              <w:rPr>
                <w:lang w:val="es-ES"/>
              </w:rPr>
              <w:t>Plazo de 40 días desde la entrega de los expediente de evaluación al Consejo Resolutivo.</w:t>
            </w:r>
          </w:p>
          <w:p w14:paraId="195E1D11" w14:textId="394512D5" w:rsidR="00D21BF7" w:rsidRDefault="00D21BF7" w:rsidP="00CF7F6C">
            <w:pPr>
              <w:ind w:left="0"/>
              <w:rPr>
                <w:lang w:val="es-ES"/>
              </w:rPr>
            </w:pPr>
            <w:r>
              <w:rPr>
                <w:lang w:val="es-ES"/>
              </w:rPr>
              <w:t>Plazo de 5 días para revisión de la</w:t>
            </w:r>
            <w:r w:rsidR="009C7B51">
              <w:rPr>
                <w:lang w:val="es-ES"/>
              </w:rPr>
              <w:t xml:space="preserve"> Superintendencia</w:t>
            </w:r>
            <w:r>
              <w:rPr>
                <w:lang w:val="es-ES"/>
              </w:rPr>
              <w:t xml:space="preserve"> en caso </w:t>
            </w:r>
            <w:r>
              <w:rPr>
                <w:lang w:val="es-ES"/>
              </w:rPr>
              <w:lastRenderedPageBreak/>
              <w:t xml:space="preserve">de requerirse. </w:t>
            </w:r>
          </w:p>
        </w:tc>
        <w:tc>
          <w:tcPr>
            <w:tcW w:w="2750" w:type="dxa"/>
          </w:tcPr>
          <w:p w14:paraId="4A8DE08E" w14:textId="77777777" w:rsidR="00D21BF7" w:rsidRDefault="00D21BF7" w:rsidP="006A7A0E">
            <w:pPr>
              <w:rPr>
                <w:lang w:val="es-ES"/>
              </w:rPr>
            </w:pPr>
          </w:p>
        </w:tc>
      </w:tr>
      <w:tr w:rsidR="009C7B51" w14:paraId="4FF52555" w14:textId="77777777" w:rsidTr="004E4BC7">
        <w:tc>
          <w:tcPr>
            <w:tcW w:w="1555" w:type="dxa"/>
            <w:vMerge/>
          </w:tcPr>
          <w:p w14:paraId="6DA1561D" w14:textId="77777777" w:rsidR="00D21BF7" w:rsidRDefault="00D21BF7" w:rsidP="006A7A0E">
            <w:pPr>
              <w:rPr>
                <w:lang w:val="es-ES"/>
              </w:rPr>
            </w:pPr>
          </w:p>
        </w:tc>
        <w:tc>
          <w:tcPr>
            <w:tcW w:w="3402" w:type="dxa"/>
          </w:tcPr>
          <w:p w14:paraId="61718F8B" w14:textId="77777777" w:rsidR="00D21BF7" w:rsidRDefault="00D21BF7" w:rsidP="00CF7F6C">
            <w:pPr>
              <w:ind w:left="0"/>
              <w:rPr>
                <w:lang w:val="es-ES"/>
              </w:rPr>
            </w:pPr>
            <w:r>
              <w:rPr>
                <w:lang w:val="es-ES"/>
              </w:rPr>
              <w:t>Dictación Resolución de Evaluación</w:t>
            </w:r>
          </w:p>
        </w:tc>
        <w:tc>
          <w:tcPr>
            <w:tcW w:w="1701" w:type="dxa"/>
          </w:tcPr>
          <w:p w14:paraId="5C9CAED2" w14:textId="29F03B4A" w:rsidR="00D21BF7" w:rsidRDefault="00D21BF7" w:rsidP="00CF7F6C">
            <w:pPr>
              <w:ind w:left="0"/>
              <w:rPr>
                <w:lang w:val="es-ES"/>
              </w:rPr>
            </w:pPr>
            <w:r>
              <w:rPr>
                <w:lang w:val="es-ES"/>
              </w:rPr>
              <w:t xml:space="preserve">Plazo de 5 días desde la ratificación de la evaluación de la </w:t>
            </w:r>
            <w:r w:rsidR="0076025E">
              <w:rPr>
                <w:lang w:val="es-ES"/>
              </w:rPr>
              <w:t>Superintendencia</w:t>
            </w:r>
            <w:r>
              <w:rPr>
                <w:lang w:val="es-ES"/>
              </w:rPr>
              <w:t xml:space="preserve"> por parte del Consejo Resolutivo.</w:t>
            </w:r>
          </w:p>
        </w:tc>
        <w:tc>
          <w:tcPr>
            <w:tcW w:w="2750" w:type="dxa"/>
          </w:tcPr>
          <w:p w14:paraId="01EB9AA4" w14:textId="77777777" w:rsidR="00D21BF7" w:rsidRDefault="00D21BF7" w:rsidP="00CF7F6C">
            <w:pPr>
              <w:ind w:left="0"/>
              <w:rPr>
                <w:lang w:val="es-ES"/>
              </w:rPr>
            </w:pPr>
            <w:r>
              <w:rPr>
                <w:lang w:val="es-ES"/>
              </w:rPr>
              <w:t>Publicada en extracto en el Diario Oficial</w:t>
            </w:r>
          </w:p>
          <w:p w14:paraId="43A981F8" w14:textId="77777777" w:rsidR="007F6002" w:rsidRDefault="00D21BF7" w:rsidP="007032EC">
            <w:pPr>
              <w:ind w:left="0"/>
              <w:rPr>
                <w:lang w:val="es-ES"/>
              </w:rPr>
            </w:pPr>
            <w:r>
              <w:rPr>
                <w:lang w:val="es-ES"/>
              </w:rPr>
              <w:t>Publicada en la Web S</w:t>
            </w:r>
            <w:r w:rsidR="0076025E">
              <w:rPr>
                <w:lang w:val="es-ES"/>
              </w:rPr>
              <w:t>uperintendencia</w:t>
            </w:r>
            <w:r w:rsidR="007F6002">
              <w:rPr>
                <w:lang w:val="es-ES"/>
              </w:rPr>
              <w:t>:</w:t>
            </w:r>
          </w:p>
          <w:p w14:paraId="69EF7B10" w14:textId="58EBD086" w:rsidR="007F6002" w:rsidRDefault="007F6002" w:rsidP="007032EC">
            <w:pPr>
              <w:ind w:left="0"/>
              <w:rPr>
                <w:rFonts w:ascii="Calibri" w:hAnsi="Calibri" w:cs="Times New Roman"/>
                <w:sz w:val="22"/>
                <w:lang w:val="es-419"/>
              </w:rPr>
            </w:pPr>
            <w:hyperlink r:id="rId18" w:history="1">
              <w:r>
                <w:rPr>
                  <w:rStyle w:val="Hipervnculo"/>
                  <w:lang w:val="es-419"/>
                </w:rPr>
                <w:t>http://www.scj.gob.cl/otorgamiento/contexto.html</w:t>
              </w:r>
            </w:hyperlink>
            <w:r>
              <w:rPr>
                <w:lang w:val="es-419"/>
              </w:rPr>
              <w:t xml:space="preserve"> </w:t>
            </w:r>
          </w:p>
          <w:p w14:paraId="04488458" w14:textId="77777777" w:rsidR="007F6002" w:rsidRPr="007032EC" w:rsidRDefault="007F6002" w:rsidP="00CF7F6C">
            <w:pPr>
              <w:ind w:left="0"/>
              <w:rPr>
                <w:lang w:val="es-419"/>
              </w:rPr>
            </w:pPr>
          </w:p>
          <w:p w14:paraId="56D1F6C7" w14:textId="77777777" w:rsidR="00D21BF7" w:rsidRDefault="00D21BF7" w:rsidP="00CF7F6C">
            <w:pPr>
              <w:ind w:left="0"/>
              <w:rPr>
                <w:lang w:val="es-ES"/>
              </w:rPr>
            </w:pPr>
            <w:r>
              <w:rPr>
                <w:lang w:val="es-ES"/>
              </w:rPr>
              <w:t>Notificada a las sociedades postulantes</w:t>
            </w:r>
          </w:p>
        </w:tc>
      </w:tr>
      <w:tr w:rsidR="006C6E0F" w14:paraId="7518DD5F" w14:textId="77777777" w:rsidTr="00B6707C">
        <w:tc>
          <w:tcPr>
            <w:tcW w:w="4957" w:type="dxa"/>
            <w:gridSpan w:val="2"/>
          </w:tcPr>
          <w:p w14:paraId="6DC1AAC6" w14:textId="6D09E408" w:rsidR="00CF7F6C" w:rsidRDefault="006C6E0F" w:rsidP="00CF7F6C">
            <w:pPr>
              <w:ind w:left="0"/>
              <w:rPr>
                <w:lang w:val="es-ES"/>
              </w:rPr>
            </w:pPr>
            <w:r>
              <w:rPr>
                <w:lang w:val="es-ES"/>
              </w:rPr>
              <w:t>Audiencia de Apertura de la Oferta Económica</w:t>
            </w:r>
          </w:p>
          <w:p w14:paraId="1CEAC1E2" w14:textId="3C8ED5C6" w:rsidR="006C6E0F" w:rsidRPr="00CF7F6C" w:rsidRDefault="00CF7F6C" w:rsidP="00CF7F6C">
            <w:pPr>
              <w:ind w:left="313"/>
              <w:rPr>
                <w:lang w:val="es-ES"/>
              </w:rPr>
            </w:pPr>
            <w:r w:rsidRPr="00CF7F6C">
              <w:rPr>
                <w:lang w:val="es-ES"/>
              </w:rPr>
              <w:t xml:space="preserve">- </w:t>
            </w:r>
            <w:r w:rsidR="006C6E0F" w:rsidRPr="00CF7F6C">
              <w:rPr>
                <w:lang w:val="es-ES"/>
              </w:rPr>
              <w:t xml:space="preserve">En esta sesión el Consejo Resolutivo </w:t>
            </w:r>
            <w:r w:rsidR="006C6E0F" w:rsidRPr="00CF7F6C">
              <w:t>determinará otorgar, denegar o renovar el permiso de operación</w:t>
            </w:r>
            <w:r w:rsidR="0076025E" w:rsidRPr="00CF7F6C">
              <w:t>.</w:t>
            </w:r>
          </w:p>
        </w:tc>
        <w:tc>
          <w:tcPr>
            <w:tcW w:w="1701" w:type="dxa"/>
          </w:tcPr>
          <w:p w14:paraId="751CB7DE" w14:textId="77777777" w:rsidR="006C6E0F" w:rsidRDefault="006C6E0F" w:rsidP="00CF7F6C">
            <w:pPr>
              <w:ind w:left="0"/>
              <w:rPr>
                <w:lang w:val="es-ES"/>
              </w:rPr>
            </w:pPr>
            <w:r>
              <w:rPr>
                <w:lang w:val="es-ES"/>
              </w:rPr>
              <w:t>Plazo de 5 días desde la publicación de la Resolución de Evaluación.</w:t>
            </w:r>
          </w:p>
        </w:tc>
        <w:tc>
          <w:tcPr>
            <w:tcW w:w="2750" w:type="dxa"/>
          </w:tcPr>
          <w:p w14:paraId="04C42DAC" w14:textId="2C674493" w:rsidR="006C6E0F" w:rsidRDefault="006C6E0F" w:rsidP="00CF7F6C">
            <w:pPr>
              <w:ind w:left="0"/>
              <w:rPr>
                <w:lang w:val="es-ES"/>
              </w:rPr>
            </w:pPr>
            <w:r>
              <w:rPr>
                <w:lang w:val="es-ES"/>
              </w:rPr>
              <w:t>Horario</w:t>
            </w:r>
            <w:r w:rsidR="00CF7F6C">
              <w:rPr>
                <w:lang w:val="es-ES"/>
              </w:rPr>
              <w:t xml:space="preserve"> y lugar</w:t>
            </w:r>
            <w:r>
              <w:rPr>
                <w:lang w:val="es-ES"/>
              </w:rPr>
              <w:t xml:space="preserve"> que se indique en la Resolución de Evaluación.</w:t>
            </w:r>
          </w:p>
        </w:tc>
      </w:tr>
      <w:tr w:rsidR="006C6E0F" w14:paraId="2C4A8EF2" w14:textId="77777777" w:rsidTr="00B6707C">
        <w:tc>
          <w:tcPr>
            <w:tcW w:w="4957" w:type="dxa"/>
            <w:gridSpan w:val="2"/>
          </w:tcPr>
          <w:p w14:paraId="55F18710" w14:textId="020B6E64" w:rsidR="006C6E0F" w:rsidRDefault="006C6E0F" w:rsidP="00CF7F6C">
            <w:pPr>
              <w:ind w:left="0"/>
              <w:rPr>
                <w:lang w:val="es-ES"/>
              </w:rPr>
            </w:pPr>
            <w:r w:rsidRPr="00CF7F6C">
              <w:rPr>
                <w:lang w:val="es-ES"/>
              </w:rPr>
              <w:t>Resolución del Superintendente que otorg</w:t>
            </w:r>
            <w:r w:rsidR="0076025E" w:rsidRPr="00CF7F6C">
              <w:rPr>
                <w:lang w:val="es-ES"/>
              </w:rPr>
              <w:t>a</w:t>
            </w:r>
            <w:r w:rsidRPr="00CF7F6C">
              <w:rPr>
                <w:lang w:val="es-ES"/>
              </w:rPr>
              <w:t>, denieg</w:t>
            </w:r>
            <w:r w:rsidR="0076025E" w:rsidRPr="00CF7F6C">
              <w:rPr>
                <w:lang w:val="es-ES"/>
              </w:rPr>
              <w:t>a</w:t>
            </w:r>
            <w:r w:rsidRPr="00CF7F6C">
              <w:rPr>
                <w:lang w:val="es-ES"/>
              </w:rPr>
              <w:t xml:space="preserve"> o renuev</w:t>
            </w:r>
            <w:r w:rsidR="0076025E" w:rsidRPr="00CF7F6C">
              <w:rPr>
                <w:lang w:val="es-ES"/>
              </w:rPr>
              <w:t xml:space="preserve">a </w:t>
            </w:r>
            <w:r w:rsidRPr="00CF7F6C">
              <w:rPr>
                <w:lang w:val="es-ES"/>
              </w:rPr>
              <w:t>un permiso de operación de casino de juego</w:t>
            </w:r>
          </w:p>
        </w:tc>
        <w:tc>
          <w:tcPr>
            <w:tcW w:w="1701" w:type="dxa"/>
          </w:tcPr>
          <w:p w14:paraId="2DD74CE7" w14:textId="77777777" w:rsidR="006C6E0F" w:rsidRDefault="006C6E0F" w:rsidP="00CF7F6C">
            <w:pPr>
              <w:ind w:left="0"/>
              <w:rPr>
                <w:lang w:val="es-ES"/>
              </w:rPr>
            </w:pPr>
            <w:r>
              <w:rPr>
                <w:lang w:val="es-ES"/>
              </w:rPr>
              <w:t>Plazo de 5 días desde la Audiencia de Apertura de la Oferta Económica</w:t>
            </w:r>
          </w:p>
        </w:tc>
        <w:tc>
          <w:tcPr>
            <w:tcW w:w="2750" w:type="dxa"/>
          </w:tcPr>
          <w:p w14:paraId="37ADF676" w14:textId="77777777" w:rsidR="006C6E0F" w:rsidRDefault="006C6E0F" w:rsidP="00CF7F6C">
            <w:pPr>
              <w:ind w:left="0"/>
              <w:rPr>
                <w:lang w:val="es-ES"/>
              </w:rPr>
            </w:pPr>
            <w:r>
              <w:rPr>
                <w:lang w:val="es-ES"/>
              </w:rPr>
              <w:t>Publicada en extracto en el Diario Oficial</w:t>
            </w:r>
          </w:p>
          <w:p w14:paraId="235108BB" w14:textId="77777777" w:rsidR="007F6002" w:rsidRDefault="006C6E0F" w:rsidP="00CF7F6C">
            <w:pPr>
              <w:ind w:left="0"/>
              <w:rPr>
                <w:lang w:val="es-ES"/>
              </w:rPr>
            </w:pPr>
            <w:r>
              <w:rPr>
                <w:lang w:val="es-ES"/>
              </w:rPr>
              <w:t xml:space="preserve">Publicada en la Web </w:t>
            </w:r>
            <w:r w:rsidR="0076025E">
              <w:rPr>
                <w:lang w:val="es-ES"/>
              </w:rPr>
              <w:t>Superintendencia</w:t>
            </w:r>
            <w:r w:rsidR="007F6002">
              <w:rPr>
                <w:lang w:val="es-ES"/>
              </w:rPr>
              <w:t>:</w:t>
            </w:r>
          </w:p>
          <w:p w14:paraId="5BA932DD" w14:textId="77777777" w:rsidR="007F6002" w:rsidRDefault="007F6002" w:rsidP="007032EC">
            <w:pPr>
              <w:ind w:left="0"/>
              <w:rPr>
                <w:rFonts w:ascii="Calibri" w:hAnsi="Calibri" w:cs="Times New Roman"/>
                <w:sz w:val="22"/>
                <w:lang w:val="es-419"/>
              </w:rPr>
            </w:pPr>
            <w:hyperlink r:id="rId19" w:history="1">
              <w:r>
                <w:rPr>
                  <w:rStyle w:val="Hipervnculo"/>
                  <w:lang w:val="es-419"/>
                </w:rPr>
                <w:t>http://www.scj.gob.cl/otorgamiento/contexto.html</w:t>
              </w:r>
            </w:hyperlink>
            <w:r>
              <w:rPr>
                <w:lang w:val="es-419"/>
              </w:rPr>
              <w:t xml:space="preserve"> </w:t>
            </w:r>
          </w:p>
          <w:p w14:paraId="767C6AB7" w14:textId="7248E2F4" w:rsidR="006C6E0F" w:rsidRDefault="006C6E0F" w:rsidP="00CF7F6C">
            <w:pPr>
              <w:ind w:left="0"/>
              <w:rPr>
                <w:lang w:val="es-ES"/>
              </w:rPr>
            </w:pPr>
          </w:p>
          <w:p w14:paraId="27D4DDB7" w14:textId="1E16E70B" w:rsidR="00CF7F6C" w:rsidRDefault="00CF7F6C" w:rsidP="00CF7F6C">
            <w:pPr>
              <w:ind w:left="0"/>
              <w:rPr>
                <w:lang w:val="es-ES"/>
              </w:rPr>
            </w:pPr>
            <w:r>
              <w:rPr>
                <w:lang w:val="es-ES"/>
              </w:rPr>
              <w:t>Notificada a las sociedades postulantes</w:t>
            </w:r>
          </w:p>
        </w:tc>
      </w:tr>
    </w:tbl>
    <w:p w14:paraId="435AAF1C" w14:textId="76C8A155" w:rsidR="004E4BC7" w:rsidRPr="00CF7F6C" w:rsidRDefault="004E4BC7" w:rsidP="006A7A0E"/>
    <w:p w14:paraId="08FC8CCF" w14:textId="77777777" w:rsidR="000E1094" w:rsidRPr="00432543" w:rsidRDefault="00A0641D" w:rsidP="006A7A0E">
      <w:pPr>
        <w:pStyle w:val="Ttulo1"/>
      </w:pPr>
      <w:bookmarkStart w:id="23" w:name="_Toc442446329"/>
      <w:bookmarkStart w:id="24" w:name="_Toc442462320"/>
      <w:bookmarkStart w:id="25" w:name="_Toc442463398"/>
      <w:bookmarkStart w:id="26" w:name="_Toc442463842"/>
      <w:bookmarkStart w:id="27" w:name="_Toc442464526"/>
      <w:bookmarkStart w:id="28" w:name="_Toc442467069"/>
      <w:bookmarkStart w:id="29" w:name="_Toc444101123"/>
      <w:bookmarkEnd w:id="23"/>
      <w:bookmarkEnd w:id="24"/>
      <w:bookmarkEnd w:id="25"/>
      <w:bookmarkEnd w:id="26"/>
      <w:bookmarkEnd w:id="27"/>
      <w:r>
        <w:br w:type="page"/>
      </w:r>
      <w:bookmarkStart w:id="30" w:name="_Toc447791981"/>
      <w:bookmarkStart w:id="31" w:name="_Toc448326244"/>
      <w:r>
        <w:lastRenderedPageBreak/>
        <w:t>Etapa de Preparación de las Ofertas Técnicas y Económicas</w:t>
      </w:r>
      <w:bookmarkEnd w:id="28"/>
      <w:bookmarkEnd w:id="29"/>
      <w:bookmarkEnd w:id="30"/>
      <w:bookmarkEnd w:id="31"/>
      <w:r w:rsidR="00B121F4" w:rsidRPr="00432543">
        <w:t xml:space="preserve"> </w:t>
      </w:r>
    </w:p>
    <w:p w14:paraId="5BB28730" w14:textId="77777777" w:rsidR="00432543" w:rsidRPr="00432543" w:rsidRDefault="00A0641D" w:rsidP="00946400">
      <w:pPr>
        <w:pStyle w:val="Ttulo2"/>
      </w:pPr>
      <w:bookmarkStart w:id="32" w:name="_Toc447791982"/>
      <w:bookmarkStart w:id="33" w:name="_Toc448326245"/>
      <w:bookmarkStart w:id="34" w:name="_Toc442467070"/>
      <w:bookmarkStart w:id="35" w:name="_Toc444101124"/>
      <w:r>
        <w:t>Aprobación y Publicación de las Bases Técnicas</w:t>
      </w:r>
      <w:bookmarkEnd w:id="32"/>
      <w:bookmarkEnd w:id="33"/>
    </w:p>
    <w:p w14:paraId="44E68286" w14:textId="6FAA4E82" w:rsidR="0076025E" w:rsidRPr="0076025E" w:rsidRDefault="0076025E" w:rsidP="00CF7F6C">
      <w:pPr>
        <w:rPr>
          <w:lang w:val="es-ES"/>
        </w:rPr>
      </w:pPr>
      <w:r w:rsidRPr="0076025E">
        <w:rPr>
          <w:lang w:val="es-ES"/>
        </w:rPr>
        <w:t>Junto con la dictación de la Resolución que declara abierto el Proceso,  se publicarán las Bases Técnicas de modo íntegro en</w:t>
      </w:r>
      <w:r>
        <w:rPr>
          <w:lang w:val="es-ES"/>
        </w:rPr>
        <w:t xml:space="preserve"> el sitio web institucional de </w:t>
      </w:r>
      <w:r w:rsidRPr="0076025E">
        <w:rPr>
          <w:lang w:val="es-ES"/>
        </w:rPr>
        <w:t xml:space="preserve">esta Superintendencia, www.scj.gob.cl. </w:t>
      </w:r>
    </w:p>
    <w:p w14:paraId="6671472B" w14:textId="3A734A65" w:rsidR="00B66C04" w:rsidRDefault="002721F3" w:rsidP="00CF7F6C">
      <w:pPr>
        <w:rPr>
          <w:lang w:val="es-ES"/>
        </w:rPr>
      </w:pPr>
      <w:r>
        <w:rPr>
          <w:lang w:val="es-ES"/>
        </w:rPr>
        <w:t>Del mismo modo, las B</w:t>
      </w:r>
      <w:r w:rsidR="0076025E" w:rsidRPr="0076025E">
        <w:rPr>
          <w:lang w:val="es-ES"/>
        </w:rPr>
        <w:t>ases podrán ser solicitadas</w:t>
      </w:r>
      <w:r w:rsidR="00B66C04">
        <w:rPr>
          <w:lang w:val="es-ES"/>
        </w:rPr>
        <w:t xml:space="preserve"> en su versión impresa</w:t>
      </w:r>
      <w:r w:rsidR="0076025E" w:rsidRPr="0076025E">
        <w:rPr>
          <w:lang w:val="es-ES"/>
        </w:rPr>
        <w:t xml:space="preserve"> en las oficinas de la Superintendencia en la fecha que se indique en l</w:t>
      </w:r>
      <w:r>
        <w:rPr>
          <w:lang w:val="es-ES"/>
        </w:rPr>
        <w:t xml:space="preserve">a resolución </w:t>
      </w:r>
      <w:r w:rsidR="00AD25D1">
        <w:rPr>
          <w:lang w:val="es-ES"/>
        </w:rPr>
        <w:t xml:space="preserve">de </w:t>
      </w:r>
      <w:r>
        <w:rPr>
          <w:lang w:val="es-ES"/>
        </w:rPr>
        <w:t>apertura del P</w:t>
      </w:r>
      <w:r w:rsidR="0076025E" w:rsidRPr="0076025E">
        <w:rPr>
          <w:lang w:val="es-ES"/>
        </w:rPr>
        <w:t xml:space="preserve">roceso de otorgamiento del permiso de operación correspondiente. </w:t>
      </w:r>
    </w:p>
    <w:p w14:paraId="20AE8D7B" w14:textId="740CDA04" w:rsidR="0076025E" w:rsidRDefault="00B66C04" w:rsidP="00CF7F6C">
      <w:pPr>
        <w:rPr>
          <w:lang w:val="es-ES"/>
        </w:rPr>
      </w:pPr>
      <w:r>
        <w:rPr>
          <w:lang w:val="es-ES"/>
        </w:rPr>
        <w:t>Los interesados; sean estos sociedades o personas naturales; antes de descargar o retirar las bases y sus anexos</w:t>
      </w:r>
      <w:r w:rsidR="00AD25D1">
        <w:rPr>
          <w:lang w:val="es-ES"/>
        </w:rPr>
        <w:t xml:space="preserve"> según sea el caso</w:t>
      </w:r>
      <w:r>
        <w:rPr>
          <w:lang w:val="es-ES"/>
        </w:rPr>
        <w:t xml:space="preserve">, deberán registrar </w:t>
      </w:r>
      <w:r w:rsidR="00AD25D1">
        <w:rPr>
          <w:lang w:val="es-ES"/>
        </w:rPr>
        <w:t xml:space="preserve">ante la Superintendencia </w:t>
      </w:r>
      <w:r>
        <w:rPr>
          <w:lang w:val="es-ES"/>
        </w:rPr>
        <w:t>sus datos básicos de identificación.</w:t>
      </w:r>
    </w:p>
    <w:p w14:paraId="79BFE68E" w14:textId="77777777" w:rsidR="00C074C6" w:rsidRPr="00432543" w:rsidRDefault="00B97BD2" w:rsidP="00946400">
      <w:pPr>
        <w:pStyle w:val="Ttulo2"/>
      </w:pPr>
      <w:bookmarkStart w:id="36" w:name="_Toc447791983"/>
      <w:bookmarkStart w:id="37" w:name="_Toc448326246"/>
      <w:bookmarkEnd w:id="34"/>
      <w:bookmarkEnd w:id="35"/>
      <w:r>
        <w:t>Resolución de Apertura del Proceso de Otorgamiento de Un Permiso de Operación</w:t>
      </w:r>
      <w:bookmarkEnd w:id="36"/>
      <w:bookmarkEnd w:id="37"/>
    </w:p>
    <w:p w14:paraId="5534B957" w14:textId="77777777" w:rsidR="00CF7F6C" w:rsidRDefault="00BB0E60" w:rsidP="00CF7F6C">
      <w:r w:rsidRPr="00B1576D">
        <w:t>La Resolución de apertura</w:t>
      </w:r>
      <w:r w:rsidR="00432543">
        <w:t xml:space="preserve"> </w:t>
      </w:r>
      <w:r w:rsidR="00590146">
        <w:t xml:space="preserve">para </w:t>
      </w:r>
      <w:r w:rsidR="00432543">
        <w:t xml:space="preserve">el proceso </w:t>
      </w:r>
      <w:r w:rsidR="00355304">
        <w:t>de otorgamiento de un permiso de operación de un Casino de Juego correspondiente a la</w:t>
      </w:r>
      <w:r w:rsidR="00CF7F6C">
        <w:t xml:space="preserve"> </w:t>
      </w:r>
      <w:r w:rsidR="00590146">
        <w:t>comuna de</w:t>
      </w:r>
      <w:r w:rsidR="00432543">
        <w:t xml:space="preserve"> </w:t>
      </w:r>
      <w:r w:rsidR="00432543" w:rsidRPr="007032EC">
        <w:t>XXX</w:t>
      </w:r>
      <w:r w:rsidR="00432543">
        <w:t xml:space="preserve"> </w:t>
      </w:r>
      <w:r w:rsidRPr="00B1576D">
        <w:t>será dictada por el Superintendente</w:t>
      </w:r>
      <w:r w:rsidR="003D35E3" w:rsidRPr="00B1576D">
        <w:t xml:space="preserve"> </w:t>
      </w:r>
      <w:r w:rsidR="00AE136F" w:rsidRPr="00B1576D">
        <w:t xml:space="preserve">de Casinos de Juego, dentro del plazo dispuesto para ello en el artículo 19 del Reglamento, </w:t>
      </w:r>
      <w:r w:rsidR="003D35E3" w:rsidRPr="00B1576D">
        <w:t>y en ella declarará formalmente abierto el proceso de otorgamiento o de renovación de permisos de operaci</w:t>
      </w:r>
      <w:r w:rsidR="00A155E1" w:rsidRPr="00B1576D">
        <w:t>ón. As</w:t>
      </w:r>
      <w:r w:rsidR="00623B90" w:rsidRPr="00B1576D">
        <w:t>i</w:t>
      </w:r>
      <w:r w:rsidR="00A155E1" w:rsidRPr="00B1576D">
        <w:t xml:space="preserve">mismo, </w:t>
      </w:r>
      <w:r w:rsidR="003D35E3" w:rsidRPr="00B1576D">
        <w:t>señalará la fecha</w:t>
      </w:r>
      <w:r w:rsidR="00A0641D">
        <w:t xml:space="preserve"> </w:t>
      </w:r>
      <w:r w:rsidR="003D35E3" w:rsidRPr="00B1576D">
        <w:t xml:space="preserve">y lugar </w:t>
      </w:r>
      <w:r w:rsidR="00A0641D">
        <w:t>para el retiro</w:t>
      </w:r>
      <w:r w:rsidR="003D35E3" w:rsidRPr="00B1576D">
        <w:t xml:space="preserve"> de las </w:t>
      </w:r>
      <w:r w:rsidR="0037514C">
        <w:t>B</w:t>
      </w:r>
      <w:r w:rsidR="003D35E3" w:rsidRPr="00B1576D">
        <w:t xml:space="preserve">ases </w:t>
      </w:r>
      <w:r w:rsidR="0037514C">
        <w:t>T</w:t>
      </w:r>
      <w:r w:rsidR="003D35E3" w:rsidRPr="00B1576D">
        <w:t xml:space="preserve">écnicas </w:t>
      </w:r>
      <w:r w:rsidR="00A0641D">
        <w:t>y, también, la fecha, hora y lugar para la Audiencia de Presentación de las Ofertas</w:t>
      </w:r>
      <w:bookmarkStart w:id="38" w:name="_Toc442462325"/>
      <w:bookmarkStart w:id="39" w:name="_Toc442463403"/>
      <w:bookmarkStart w:id="40" w:name="_Toc442463847"/>
      <w:bookmarkStart w:id="41" w:name="_Toc442464531"/>
      <w:bookmarkStart w:id="42" w:name="_Toc442467073"/>
      <w:bookmarkStart w:id="43" w:name="_Toc447791984"/>
      <w:bookmarkStart w:id="44" w:name="_Toc442467074"/>
      <w:bookmarkStart w:id="45" w:name="_Toc444101129"/>
      <w:bookmarkEnd w:id="38"/>
      <w:bookmarkEnd w:id="39"/>
      <w:bookmarkEnd w:id="40"/>
      <w:bookmarkEnd w:id="41"/>
      <w:bookmarkEnd w:id="42"/>
    </w:p>
    <w:p w14:paraId="67D6E3D7" w14:textId="7CCDD3BE" w:rsidR="00E315D4" w:rsidRPr="00B1576D" w:rsidRDefault="00B97BD2" w:rsidP="00946400">
      <w:pPr>
        <w:pStyle w:val="Ttulo2"/>
      </w:pPr>
      <w:bookmarkStart w:id="46" w:name="_Toc448326247"/>
      <w:r>
        <w:t>Consultas y Aclaraciones a las Bases Técnicas</w:t>
      </w:r>
      <w:bookmarkEnd w:id="43"/>
      <w:bookmarkEnd w:id="46"/>
    </w:p>
    <w:p w14:paraId="018696EC" w14:textId="77777777" w:rsidR="00CF7F6C" w:rsidRDefault="00B97BD2" w:rsidP="00EC78BC">
      <w:pPr>
        <w:pStyle w:val="NormalWeb"/>
        <w:rPr>
          <w:lang w:val="es-ES"/>
        </w:rPr>
      </w:pPr>
      <w:r>
        <w:rPr>
          <w:lang w:val="es-ES"/>
        </w:rPr>
        <w:t>Durante el periodo indicado en el Cronograma de Actividades, l</w:t>
      </w:r>
      <w:r w:rsidR="00590146">
        <w:rPr>
          <w:lang w:val="es-ES"/>
        </w:rPr>
        <w:t xml:space="preserve">as sociedades interesadas </w:t>
      </w:r>
      <w:r>
        <w:rPr>
          <w:lang w:val="es-ES"/>
        </w:rPr>
        <w:t xml:space="preserve"> podrán realizar consultas </w:t>
      </w:r>
      <w:r w:rsidR="00590146">
        <w:rPr>
          <w:lang w:val="es-ES"/>
        </w:rPr>
        <w:t xml:space="preserve">y solicitar </w:t>
      </w:r>
      <w:r>
        <w:rPr>
          <w:lang w:val="es-ES"/>
        </w:rPr>
        <w:t>aclara</w:t>
      </w:r>
      <w:r w:rsidR="00590146">
        <w:rPr>
          <w:lang w:val="es-ES"/>
        </w:rPr>
        <w:t>ciones</w:t>
      </w:r>
      <w:r>
        <w:rPr>
          <w:lang w:val="es-ES"/>
        </w:rPr>
        <w:t xml:space="preserve"> del contenido de las Bases Técnicas y sus anexos. Para la formulación de estas consultas, los interesados podrán usar los siguientes canales</w:t>
      </w:r>
      <w:r w:rsidR="004E1557">
        <w:rPr>
          <w:lang w:val="es-ES"/>
        </w:rPr>
        <w:t>:</w:t>
      </w:r>
    </w:p>
    <w:p w14:paraId="3825BDE7" w14:textId="23589A4D" w:rsidR="00257580" w:rsidRDefault="00B97BD2" w:rsidP="00CD1801">
      <w:pPr>
        <w:pStyle w:val="xnormal"/>
        <w:numPr>
          <w:ilvl w:val="0"/>
          <w:numId w:val="12"/>
        </w:numPr>
      </w:pPr>
      <w:r w:rsidRPr="00257580">
        <w:t xml:space="preserve">Correo electrónico dirigido a la cuenta </w:t>
      </w:r>
      <w:hyperlink r:id="rId20" w:history="1">
        <w:r w:rsidRPr="00CF7F6C">
          <w:t>xxx@scj.gov.cl</w:t>
        </w:r>
      </w:hyperlink>
      <w:r w:rsidRPr="00257580">
        <w:t xml:space="preserve"> creada exclusivamente para estos fines.</w:t>
      </w:r>
    </w:p>
    <w:p w14:paraId="1AF31419" w14:textId="77777777" w:rsidR="00257580" w:rsidRDefault="00B97BD2" w:rsidP="00CD1801">
      <w:pPr>
        <w:pStyle w:val="xnormal"/>
        <w:numPr>
          <w:ilvl w:val="0"/>
          <w:numId w:val="12"/>
        </w:numPr>
      </w:pPr>
      <w:r w:rsidRPr="00257580">
        <w:t>Carta ingresada en la oficina de partes de la Superintendencia de Casinos de Juego, ubicada en Morandé 360, piso 11.</w:t>
      </w:r>
    </w:p>
    <w:p w14:paraId="56C227FB" w14:textId="77777777" w:rsidR="007F6002" w:rsidRDefault="00B97BD2" w:rsidP="007F6002">
      <w:r w:rsidRPr="00257580">
        <w:t xml:space="preserve">Ingreso de documento de consultas en portal web de la SCJ dispuesto para esto </w:t>
      </w:r>
    </w:p>
    <w:p w14:paraId="7A56BA00" w14:textId="7C5D77C5" w:rsidR="00B97BD2" w:rsidRPr="007032EC" w:rsidRDefault="007F6002" w:rsidP="007032EC">
      <w:pPr>
        <w:rPr>
          <w:rFonts w:ascii="Calibri" w:hAnsi="Calibri" w:cs="Times New Roman"/>
          <w:sz w:val="22"/>
          <w:lang w:val="es-419"/>
        </w:rPr>
      </w:pPr>
      <w:hyperlink r:id="rId21" w:history="1">
        <w:r>
          <w:rPr>
            <w:rStyle w:val="Hipervnculo"/>
            <w:lang w:val="es-419"/>
          </w:rPr>
          <w:t>http://www.scj.gob.cl/otorgamiento/contexto.html</w:t>
        </w:r>
      </w:hyperlink>
      <w:r>
        <w:rPr>
          <w:lang w:val="es-419"/>
        </w:rPr>
        <w:t xml:space="preserve"> </w:t>
      </w:r>
    </w:p>
    <w:p w14:paraId="39097D1F" w14:textId="2542C2CE" w:rsidR="00257580" w:rsidRDefault="00D769C6" w:rsidP="006A7A0E">
      <w:pPr>
        <w:pStyle w:val="NormalWeb"/>
        <w:rPr>
          <w:lang w:val="es-ES"/>
        </w:rPr>
      </w:pPr>
      <w:r>
        <w:rPr>
          <w:lang w:val="es-ES"/>
        </w:rPr>
        <w:t xml:space="preserve">Aquellos que efectúen consultas por cualquier de los medios indicados en el </w:t>
      </w:r>
      <w:r w:rsidR="00AD25D1">
        <w:rPr>
          <w:lang w:val="es-ES"/>
        </w:rPr>
        <w:t>p</w:t>
      </w:r>
      <w:r>
        <w:rPr>
          <w:lang w:val="es-ES"/>
        </w:rPr>
        <w:t xml:space="preserve">árrafo anterior, deberán proveer y registrar sus datos básicos de identificación, independiente de que ellos sean personas naturales o jurídicas. </w:t>
      </w:r>
    </w:p>
    <w:p w14:paraId="3C11EDCC" w14:textId="77777777" w:rsidR="00257580" w:rsidRDefault="00257580" w:rsidP="006A7A0E">
      <w:pPr>
        <w:pStyle w:val="NormalWeb"/>
        <w:rPr>
          <w:lang w:val="es-ES"/>
        </w:rPr>
      </w:pPr>
    </w:p>
    <w:p w14:paraId="16DC754B" w14:textId="77777777" w:rsidR="0018548F" w:rsidRPr="00B1576D" w:rsidRDefault="00C22EAE" w:rsidP="00946400">
      <w:pPr>
        <w:pStyle w:val="Ttulo2"/>
      </w:pPr>
      <w:bookmarkStart w:id="47" w:name="_Toc447791985"/>
      <w:bookmarkStart w:id="48" w:name="_Toc448326248"/>
      <w:bookmarkEnd w:id="44"/>
      <w:bookmarkEnd w:id="45"/>
      <w:r>
        <w:lastRenderedPageBreak/>
        <w:t>Respuesta a las consultas y solicitudes de aclaración</w:t>
      </w:r>
      <w:bookmarkEnd w:id="47"/>
      <w:bookmarkEnd w:id="48"/>
    </w:p>
    <w:p w14:paraId="10252643" w14:textId="3223D1D0" w:rsidR="008141FC" w:rsidRDefault="004E1557" w:rsidP="006A7A0E">
      <w:pPr>
        <w:rPr>
          <w:lang w:val="es-ES" w:eastAsia="es-CL"/>
        </w:rPr>
      </w:pPr>
      <w:r>
        <w:rPr>
          <w:lang w:val="es-ES" w:eastAsia="es-CL"/>
        </w:rPr>
        <w:t xml:space="preserve">Dentro de </w:t>
      </w:r>
      <w:r w:rsidR="00B97BD2">
        <w:rPr>
          <w:lang w:val="es-ES" w:eastAsia="es-CL"/>
        </w:rPr>
        <w:t xml:space="preserve"> un plazo de 15 días</w:t>
      </w:r>
      <w:r w:rsidR="00D769C6">
        <w:rPr>
          <w:lang w:val="es-ES" w:eastAsia="es-CL"/>
        </w:rPr>
        <w:t xml:space="preserve"> hábiles</w:t>
      </w:r>
      <w:r w:rsidR="00B97BD2">
        <w:rPr>
          <w:lang w:val="es-ES" w:eastAsia="es-CL"/>
        </w:rPr>
        <w:t>,</w:t>
      </w:r>
      <w:r w:rsidR="00D769C6">
        <w:rPr>
          <w:lang w:val="es-ES" w:eastAsia="es-CL"/>
        </w:rPr>
        <w:t xml:space="preserve"> contados</w:t>
      </w:r>
      <w:r w:rsidR="00B97BD2">
        <w:rPr>
          <w:lang w:val="es-ES" w:eastAsia="es-CL"/>
        </w:rPr>
        <w:t xml:space="preserve"> desde </w:t>
      </w:r>
      <w:r w:rsidR="00D769C6">
        <w:rPr>
          <w:lang w:val="es-ES" w:eastAsia="es-CL"/>
        </w:rPr>
        <w:t>la fecha d</w:t>
      </w:r>
      <w:r w:rsidR="00B97BD2">
        <w:rPr>
          <w:lang w:val="es-ES" w:eastAsia="es-CL"/>
        </w:rPr>
        <w:t>e vencimiento del plazo establecido para la</w:t>
      </w:r>
      <w:r w:rsidR="00CF7F6C">
        <w:rPr>
          <w:lang w:val="es-ES" w:eastAsia="es-CL"/>
        </w:rPr>
        <w:t xml:space="preserve"> </w:t>
      </w:r>
      <w:r w:rsidR="00B97BD2">
        <w:rPr>
          <w:lang w:val="es-ES" w:eastAsia="es-CL"/>
        </w:rPr>
        <w:t xml:space="preserve">formulación de consultas, la Superintendencia dará respuesta a </w:t>
      </w:r>
      <w:r>
        <w:rPr>
          <w:lang w:val="es-ES" w:eastAsia="es-CL"/>
        </w:rPr>
        <w:t xml:space="preserve">las </w:t>
      </w:r>
      <w:r w:rsidR="00B97BD2">
        <w:rPr>
          <w:lang w:val="es-ES" w:eastAsia="es-CL"/>
        </w:rPr>
        <w:t xml:space="preserve"> consultas </w:t>
      </w:r>
      <w:r>
        <w:rPr>
          <w:lang w:val="es-ES" w:eastAsia="es-CL"/>
        </w:rPr>
        <w:t xml:space="preserve">y solicitudes de aclaración </w:t>
      </w:r>
      <w:r w:rsidR="00B97BD2">
        <w:rPr>
          <w:lang w:val="es-ES" w:eastAsia="es-CL"/>
        </w:rPr>
        <w:t>que h</w:t>
      </w:r>
      <w:r>
        <w:rPr>
          <w:lang w:val="es-ES" w:eastAsia="es-CL"/>
        </w:rPr>
        <w:t xml:space="preserve">ubiese </w:t>
      </w:r>
      <w:r w:rsidR="008141FC" w:rsidRPr="008141FC">
        <w:rPr>
          <w:lang w:val="es-ES" w:eastAsia="es-CL"/>
        </w:rPr>
        <w:t>recibido en tiempo y forma</w:t>
      </w:r>
      <w:r w:rsidR="008141FC">
        <w:rPr>
          <w:lang w:val="es-ES" w:eastAsia="es-CL"/>
        </w:rPr>
        <w:t>.</w:t>
      </w:r>
      <w:r w:rsidR="008141FC" w:rsidRPr="008141FC">
        <w:rPr>
          <w:lang w:val="es-ES" w:eastAsia="es-CL"/>
        </w:rPr>
        <w:t xml:space="preserve"> La Superintendencia no responderá consultas o solicitudes de aclaraciones que hubieren sido presentadas o formuladas fuera del plazo establecido en el Cronograma de Actividades vigente.</w:t>
      </w:r>
    </w:p>
    <w:p w14:paraId="228C6AFB" w14:textId="6DDDAC67" w:rsidR="009B59CF" w:rsidRPr="00B1576D" w:rsidRDefault="00B121F4" w:rsidP="006A7A0E">
      <w:pPr>
        <w:rPr>
          <w:lang w:val="es-ES" w:eastAsia="es-CL"/>
        </w:rPr>
      </w:pPr>
      <w:r w:rsidRPr="00B1576D">
        <w:rPr>
          <w:lang w:val="es-ES" w:eastAsia="es-CL"/>
        </w:rPr>
        <w:t xml:space="preserve">Las respuestas a estas consultas se pondrán a disposición de todos los interesados,  mediante </w:t>
      </w:r>
      <w:r w:rsidR="00073BF3" w:rsidRPr="00B1576D">
        <w:rPr>
          <w:lang w:val="es-ES" w:eastAsia="es-CL"/>
        </w:rPr>
        <w:t xml:space="preserve">una o más </w:t>
      </w:r>
      <w:r w:rsidRPr="00B1576D">
        <w:rPr>
          <w:lang w:val="es-ES" w:eastAsia="es-CL"/>
        </w:rPr>
        <w:t xml:space="preserve">circulares aclaratorias que se publicarán en el sitio web </w:t>
      </w:r>
      <w:r w:rsidR="008F265D" w:rsidRPr="00B1576D">
        <w:rPr>
          <w:lang w:val="es-ES" w:eastAsia="es-CL"/>
        </w:rPr>
        <w:t>www.scj.gob.cl</w:t>
      </w:r>
      <w:r w:rsidRPr="00B1576D">
        <w:rPr>
          <w:lang w:val="es-ES" w:eastAsia="es-CL"/>
        </w:rPr>
        <w:t xml:space="preserve">, </w:t>
      </w:r>
      <w:r w:rsidR="00B97BD2">
        <w:rPr>
          <w:lang w:val="es-ES" w:eastAsia="es-CL"/>
        </w:rPr>
        <w:t xml:space="preserve">indicando la consulta que se está respondiendo, pero </w:t>
      </w:r>
      <w:r w:rsidRPr="00B1576D">
        <w:rPr>
          <w:lang w:val="es-ES" w:eastAsia="es-CL"/>
        </w:rPr>
        <w:t>sin in</w:t>
      </w:r>
      <w:r w:rsidR="008141FC">
        <w:rPr>
          <w:lang w:val="es-ES" w:eastAsia="es-CL"/>
        </w:rPr>
        <w:t xml:space="preserve">dividualizar al </w:t>
      </w:r>
      <w:r w:rsidRPr="00B1576D">
        <w:rPr>
          <w:lang w:val="es-ES" w:eastAsia="es-CL"/>
        </w:rPr>
        <w:t xml:space="preserve"> autor de la</w:t>
      </w:r>
      <w:r w:rsidR="00B97BD2">
        <w:rPr>
          <w:lang w:val="es-ES" w:eastAsia="es-CL"/>
        </w:rPr>
        <w:t xml:space="preserve"> misma</w:t>
      </w:r>
      <w:r w:rsidRPr="00B1576D">
        <w:rPr>
          <w:lang w:val="es-ES" w:eastAsia="es-CL"/>
        </w:rPr>
        <w:t>.</w:t>
      </w:r>
    </w:p>
    <w:p w14:paraId="7FF0E384" w14:textId="59586F8E" w:rsidR="00C22EAE" w:rsidRPr="00A2763C" w:rsidRDefault="00460387" w:rsidP="007032EC">
      <w:pPr>
        <w:rPr>
          <w:lang w:val="es-ES" w:eastAsia="es-CL"/>
        </w:rPr>
      </w:pPr>
      <w:r w:rsidRPr="00B1576D">
        <w:rPr>
          <w:iCs/>
        </w:rPr>
        <w:t>L</w:t>
      </w:r>
      <w:r w:rsidRPr="00B1576D">
        <w:rPr>
          <w:lang w:val="es-ES" w:eastAsia="es-CL"/>
        </w:rPr>
        <w:t>a Superintendencia podrá</w:t>
      </w:r>
      <w:r w:rsidR="001F709F">
        <w:rPr>
          <w:lang w:val="es-ES" w:eastAsia="es-CL"/>
        </w:rPr>
        <w:t>,</w:t>
      </w:r>
      <w:r w:rsidRPr="00B1576D">
        <w:rPr>
          <w:lang w:val="es-ES" w:eastAsia="es-CL"/>
        </w:rPr>
        <w:t xml:space="preserve"> en el plazo a</w:t>
      </w:r>
      <w:r w:rsidR="008141FC">
        <w:rPr>
          <w:lang w:val="es-ES" w:eastAsia="es-CL"/>
        </w:rPr>
        <w:t>ntes señalado</w:t>
      </w:r>
      <w:r w:rsidRPr="00B1576D">
        <w:rPr>
          <w:lang w:val="es-ES" w:eastAsia="es-CL"/>
        </w:rPr>
        <w:t xml:space="preserve">, de oficio, emitir </w:t>
      </w:r>
      <w:r w:rsidR="008141FC">
        <w:rPr>
          <w:lang w:val="es-ES" w:eastAsia="es-CL"/>
        </w:rPr>
        <w:t xml:space="preserve">otras </w:t>
      </w:r>
      <w:r w:rsidRPr="00B1576D">
        <w:rPr>
          <w:lang w:val="es-ES" w:eastAsia="es-CL"/>
        </w:rPr>
        <w:t xml:space="preserve">aclaraciones, rectificaciones, precisiones o modificaciones a las presentes </w:t>
      </w:r>
      <w:r w:rsidR="0037514C">
        <w:rPr>
          <w:lang w:val="es-ES" w:eastAsia="es-CL"/>
        </w:rPr>
        <w:t>B</w:t>
      </w:r>
      <w:r w:rsidRPr="00B1576D">
        <w:rPr>
          <w:lang w:val="es-ES" w:eastAsia="es-CL"/>
        </w:rPr>
        <w:t xml:space="preserve">ases, las que </w:t>
      </w:r>
      <w:r w:rsidR="007032EC">
        <w:rPr>
          <w:lang w:val="es-ES" w:eastAsia="es-CL"/>
        </w:rPr>
        <w:t xml:space="preserve">serán publicadas en el sitio web </w:t>
      </w:r>
      <w:hyperlink r:id="rId22" w:history="1">
        <w:r w:rsidR="009627AA" w:rsidRPr="009627AA">
          <w:rPr>
            <w:rStyle w:val="Hipervnculo"/>
            <w:lang w:val="es-419"/>
          </w:rPr>
          <w:t>http://www.scj.gob.cl/otorgamiento/contexto.html</w:t>
        </w:r>
      </w:hyperlink>
      <w:r w:rsidR="007032EC">
        <w:rPr>
          <w:lang w:val="es-419"/>
        </w:rPr>
        <w:t>.</w:t>
      </w:r>
    </w:p>
    <w:p w14:paraId="7A6ACA09" w14:textId="7E3651F8" w:rsidR="00C22EAE" w:rsidRDefault="00867071" w:rsidP="006A7A0E">
      <w:r>
        <w:t>Independiente del proceso de formulación de consultas</w:t>
      </w:r>
      <w:r w:rsidR="00A2763C">
        <w:t xml:space="preserve"> a las Bases</w:t>
      </w:r>
      <w:r>
        <w:t xml:space="preserve"> y la entrega de respues</w:t>
      </w:r>
      <w:r w:rsidR="00A2763C">
        <w:t xml:space="preserve">tas, precisiones o aclaraciones; </w:t>
      </w:r>
      <w:r>
        <w:t xml:space="preserve"> y</w:t>
      </w:r>
      <w:r w:rsidR="00A2763C">
        <w:t>,</w:t>
      </w:r>
      <w:r>
        <w:t xml:space="preserve"> </w:t>
      </w:r>
      <w:r w:rsidR="008141FC">
        <w:t xml:space="preserve">conforme a </w:t>
      </w:r>
      <w:r>
        <w:t xml:space="preserve">lo </w:t>
      </w:r>
      <w:r w:rsidR="003469AF">
        <w:t>antes indicado</w:t>
      </w:r>
      <w:r>
        <w:t xml:space="preserve"> se podrá efectuar consultas sobre el soporte </w:t>
      </w:r>
      <w:r w:rsidR="00C22EAE">
        <w:t>técnico para el Sistema Informático de Postulación a un Permiso de Operación (SOPO-SCJ) que se habilitará exclusivamente para asegurar un correcto funcionamiento del aplicativo.</w:t>
      </w:r>
    </w:p>
    <w:p w14:paraId="6DD5BE64" w14:textId="77777777" w:rsidR="00086ECD" w:rsidRDefault="00C22EAE" w:rsidP="00946400">
      <w:pPr>
        <w:pStyle w:val="Ttulo2"/>
      </w:pPr>
      <w:bookmarkStart w:id="49" w:name="_Toc447791986"/>
      <w:bookmarkStart w:id="50" w:name="_Toc448326249"/>
      <w:r>
        <w:t>Preparación de la Oferta</w:t>
      </w:r>
      <w:bookmarkEnd w:id="49"/>
      <w:bookmarkEnd w:id="50"/>
    </w:p>
    <w:p w14:paraId="3BF5FDBC" w14:textId="0D58DCEF" w:rsidR="00086ECD" w:rsidRDefault="00361DF8" w:rsidP="006A7A0E">
      <w:r>
        <w:t xml:space="preserve">Las sociedades interesadas </w:t>
      </w:r>
      <w:r w:rsidR="00C22EAE">
        <w:t>o</w:t>
      </w:r>
      <w:r>
        <w:t xml:space="preserve">, deberán presentar a la Superintendencia  una </w:t>
      </w:r>
      <w:r w:rsidR="006B3E63">
        <w:t>O</w:t>
      </w:r>
      <w:r>
        <w:t>ferta</w:t>
      </w:r>
      <w:r w:rsidR="006B3E63">
        <w:t xml:space="preserve"> Técnica y Económica</w:t>
      </w:r>
      <w:r>
        <w:t xml:space="preserve"> en los plazos y la forma que definen estas Bases Técnicas.</w:t>
      </w:r>
    </w:p>
    <w:p w14:paraId="159F2C1F" w14:textId="6642D266" w:rsidR="008141FC" w:rsidRDefault="00361DF8" w:rsidP="006A7A0E">
      <w:r>
        <w:t>Para esto, las sociedades operadoras interesadas prepararán</w:t>
      </w:r>
      <w:r w:rsidR="00C22EAE">
        <w:t xml:space="preserve">, </w:t>
      </w:r>
      <w:r w:rsidR="008141FC" w:rsidRPr="008141FC">
        <w:t>y entregarán  en la Audiencia de presentación de Ofertas, una Oferta Económica y una Oferta Técnica. Ambas ofertas, se presentarán impresas y en distintos sobres</w:t>
      </w:r>
      <w:r w:rsidR="003469AF">
        <w:t xml:space="preserve"> o carpetas</w:t>
      </w:r>
      <w:r w:rsidR="008141FC" w:rsidRPr="008141FC">
        <w:t xml:space="preserve">. Asimismo, en el caso </w:t>
      </w:r>
      <w:r w:rsidR="008141FC">
        <w:t xml:space="preserve">de la </w:t>
      </w:r>
      <w:r w:rsidR="003469AF">
        <w:t>Oferta Técnica,</w:t>
      </w:r>
      <w:r w:rsidR="008141FC" w:rsidRPr="008141FC">
        <w:t xml:space="preserve"> ella se entregará también en una carpeta</w:t>
      </w:r>
      <w:r w:rsidR="003469AF">
        <w:t xml:space="preserve"> virtual</w:t>
      </w:r>
      <w:r w:rsidR="008141FC">
        <w:t>,</w:t>
      </w:r>
      <w:r w:rsidR="003469AF">
        <w:t xml:space="preserve"> idéntica a la versión impresa</w:t>
      </w:r>
      <w:r w:rsidR="008141FC">
        <w:t>.</w:t>
      </w:r>
    </w:p>
    <w:p w14:paraId="459A9E65" w14:textId="4CE19C32" w:rsidR="009627AA" w:rsidRPr="007032EC" w:rsidRDefault="00361DF8" w:rsidP="007032EC">
      <w:r>
        <w:t>Para la elaboración de</w:t>
      </w:r>
      <w:r w:rsidR="00770307">
        <w:t xml:space="preserve"> la carpeta</w:t>
      </w:r>
      <w:r>
        <w:t xml:space="preserve"> virtual</w:t>
      </w:r>
      <w:r w:rsidR="00770307">
        <w:t xml:space="preserve"> correspondiente a la Oferta Técnica</w:t>
      </w:r>
      <w:r>
        <w:t xml:space="preserve">, los interesados deberán </w:t>
      </w:r>
      <w:r>
        <w:rPr>
          <w:lang w:val="es-ES"/>
        </w:rPr>
        <w:t>d</w:t>
      </w:r>
      <w:r w:rsidRPr="00B1576D">
        <w:rPr>
          <w:lang w:val="es-ES"/>
        </w:rPr>
        <w:t>escargar</w:t>
      </w:r>
      <w:r w:rsidR="00770307">
        <w:rPr>
          <w:lang w:val="es-ES"/>
        </w:rPr>
        <w:t>, junto con las presentes Bases,</w:t>
      </w:r>
      <w:r w:rsidRPr="00B1576D">
        <w:rPr>
          <w:lang w:val="es-ES"/>
        </w:rPr>
        <w:t xml:space="preserve"> </w:t>
      </w:r>
      <w:r w:rsidR="00770307">
        <w:rPr>
          <w:lang w:val="es-ES"/>
        </w:rPr>
        <w:t xml:space="preserve">el Sistema Informático de Postulación a un Permiso de Operación (SOPO-SCJ) </w:t>
      </w:r>
      <w:r w:rsidRPr="00B1576D">
        <w:rPr>
          <w:lang w:val="es-ES"/>
        </w:rPr>
        <w:t>desde el sitio</w:t>
      </w:r>
      <w:r w:rsidR="007032EC">
        <w:rPr>
          <w:lang w:val="es-ES"/>
        </w:rPr>
        <w:t xml:space="preserve"> </w:t>
      </w:r>
      <w:hyperlink r:id="rId23" w:history="1">
        <w:r w:rsidR="009627AA">
          <w:rPr>
            <w:rStyle w:val="Hipervnculo"/>
            <w:lang w:val="es-419"/>
          </w:rPr>
          <w:t>http://www.scj.gob.cl/otorgamiento/contexto.html</w:t>
        </w:r>
      </w:hyperlink>
      <w:r w:rsidR="007032EC">
        <w:rPr>
          <w:lang w:val="es-419"/>
        </w:rPr>
        <w:t>.</w:t>
      </w:r>
    </w:p>
    <w:p w14:paraId="03BB5887" w14:textId="0BEE10CD" w:rsidR="00361DF8" w:rsidRDefault="00361DF8" w:rsidP="006A7A0E">
      <w:pPr>
        <w:rPr>
          <w:lang w:val="es-ES"/>
        </w:rPr>
      </w:pPr>
      <w:r>
        <w:rPr>
          <w:lang w:val="es-ES"/>
        </w:rPr>
        <w:t xml:space="preserve">Esta aplicación debe ser instalada localmente y </w:t>
      </w:r>
      <w:r w:rsidRPr="00B1576D">
        <w:rPr>
          <w:lang w:val="es-ES"/>
        </w:rPr>
        <w:t>contiene el formulario de presentación de las ofertas</w:t>
      </w:r>
      <w:r>
        <w:rPr>
          <w:lang w:val="es-ES"/>
        </w:rPr>
        <w:t xml:space="preserve">, además de permitir adjuntar todos los documentos que componen la </w:t>
      </w:r>
      <w:r w:rsidR="00B663F7">
        <w:rPr>
          <w:lang w:val="es-ES"/>
        </w:rPr>
        <w:t>O</w:t>
      </w:r>
      <w:r>
        <w:rPr>
          <w:lang w:val="es-ES"/>
        </w:rPr>
        <w:t>ferta técnica que la sociedad debe presentar.</w:t>
      </w:r>
    </w:p>
    <w:p w14:paraId="453FE52C" w14:textId="2B306BC5" w:rsidR="00086ECD" w:rsidRDefault="00361DF8" w:rsidP="006A7A0E">
      <w:pPr>
        <w:rPr>
          <w:lang w:val="es-ES"/>
        </w:rPr>
      </w:pPr>
      <w:r>
        <w:rPr>
          <w:lang w:val="es-ES"/>
        </w:rPr>
        <w:t>El Manual de Usuario del Sistema</w:t>
      </w:r>
      <w:r w:rsidR="00DB7913">
        <w:rPr>
          <w:lang w:val="es-ES"/>
        </w:rPr>
        <w:t xml:space="preserve"> Informático</w:t>
      </w:r>
      <w:r>
        <w:rPr>
          <w:lang w:val="es-ES"/>
        </w:rPr>
        <w:t xml:space="preserve"> de Postulación a un Permiso de Operación</w:t>
      </w:r>
      <w:r w:rsidR="00DB7913">
        <w:rPr>
          <w:lang w:val="es-ES"/>
        </w:rPr>
        <w:t xml:space="preserve"> (SOPO-SC</w:t>
      </w:r>
      <w:r w:rsidR="00D6584D">
        <w:rPr>
          <w:lang w:val="es-ES"/>
        </w:rPr>
        <w:t>J)</w:t>
      </w:r>
      <w:r>
        <w:rPr>
          <w:lang w:val="es-ES"/>
        </w:rPr>
        <w:t xml:space="preserve">, </w:t>
      </w:r>
      <w:r w:rsidR="00D6584D">
        <w:rPr>
          <w:lang w:val="es-ES"/>
        </w:rPr>
        <w:t>que estará disponible en la página web institucional d</w:t>
      </w:r>
      <w:r w:rsidR="005D1665">
        <w:rPr>
          <w:lang w:val="es-ES"/>
        </w:rPr>
        <w:t>e</w:t>
      </w:r>
      <w:r w:rsidR="003469AF">
        <w:rPr>
          <w:lang w:val="es-ES"/>
        </w:rPr>
        <w:t xml:space="preserve"> </w:t>
      </w:r>
      <w:r w:rsidR="00D6584D">
        <w:rPr>
          <w:lang w:val="es-ES"/>
        </w:rPr>
        <w:t xml:space="preserve">la Superintendencia </w:t>
      </w:r>
      <w:r w:rsidR="0019343D">
        <w:rPr>
          <w:lang w:val="es-ES"/>
        </w:rPr>
        <w:t xml:space="preserve">detalla el funcionamiento y llenado del formulario de postulación, así como todo lo relacionado con </w:t>
      </w:r>
      <w:r w:rsidR="00770307">
        <w:rPr>
          <w:lang w:val="es-ES"/>
        </w:rPr>
        <w:t>la conformación  d</w:t>
      </w:r>
      <w:r w:rsidR="0019343D">
        <w:rPr>
          <w:lang w:val="es-ES"/>
        </w:rPr>
        <w:t>e</w:t>
      </w:r>
      <w:r w:rsidR="003469AF">
        <w:rPr>
          <w:lang w:val="es-ES"/>
        </w:rPr>
        <w:t xml:space="preserve"> </w:t>
      </w:r>
      <w:r w:rsidR="0019343D">
        <w:rPr>
          <w:lang w:val="es-ES"/>
        </w:rPr>
        <w:t>l</w:t>
      </w:r>
      <w:r w:rsidR="003469AF">
        <w:rPr>
          <w:lang w:val="es-ES"/>
        </w:rPr>
        <w:t xml:space="preserve">a carpeta </w:t>
      </w:r>
      <w:r w:rsidR="0019343D">
        <w:rPr>
          <w:lang w:val="es-ES"/>
        </w:rPr>
        <w:t>virtual de la oferta</w:t>
      </w:r>
      <w:r w:rsidR="00770307">
        <w:rPr>
          <w:lang w:val="es-ES"/>
        </w:rPr>
        <w:t xml:space="preserve"> técnica</w:t>
      </w:r>
      <w:r w:rsidR="0019343D">
        <w:rPr>
          <w:lang w:val="es-ES"/>
        </w:rPr>
        <w:t xml:space="preserve">. Del mismo modo, y exclusivamente para apoyar en el uso de esta herramienta informática, se </w:t>
      </w:r>
      <w:r w:rsidR="00770307">
        <w:rPr>
          <w:lang w:val="es-ES"/>
        </w:rPr>
        <w:t>dispondrá</w:t>
      </w:r>
      <w:r w:rsidR="0019343D">
        <w:rPr>
          <w:lang w:val="es-ES"/>
        </w:rPr>
        <w:t xml:space="preserve"> una mesa de ayuda durante </w:t>
      </w:r>
      <w:r w:rsidR="00770307">
        <w:rPr>
          <w:lang w:val="es-ES"/>
        </w:rPr>
        <w:t xml:space="preserve"> </w:t>
      </w:r>
      <w:r w:rsidR="0019343D">
        <w:rPr>
          <w:lang w:val="es-ES"/>
        </w:rPr>
        <w:t xml:space="preserve">el periodo de preparación de las ofertas, según se detalla en </w:t>
      </w:r>
      <w:r w:rsidR="00770307">
        <w:rPr>
          <w:lang w:val="es-ES"/>
        </w:rPr>
        <w:t>el mismo Manual</w:t>
      </w:r>
      <w:r w:rsidR="0019343D">
        <w:rPr>
          <w:lang w:val="es-ES"/>
        </w:rPr>
        <w:t>.</w:t>
      </w:r>
    </w:p>
    <w:p w14:paraId="3F479051" w14:textId="07EB208E" w:rsidR="0019343D" w:rsidRDefault="0047664B" w:rsidP="006A7A0E">
      <w:pPr>
        <w:pStyle w:val="NormalWeb"/>
        <w:rPr>
          <w:lang w:val="es-ES"/>
        </w:rPr>
      </w:pPr>
      <w:r>
        <w:rPr>
          <w:lang w:val="es-ES"/>
        </w:rPr>
        <w:t xml:space="preserve">Como </w:t>
      </w:r>
      <w:r w:rsidR="003469AF">
        <w:rPr>
          <w:lang w:val="es-ES"/>
        </w:rPr>
        <w:t>resumen</w:t>
      </w:r>
      <w:r>
        <w:rPr>
          <w:lang w:val="es-ES"/>
        </w:rPr>
        <w:t xml:space="preserve"> de lo descrito en el inciso anterior</w:t>
      </w:r>
      <w:r w:rsidR="003469AF">
        <w:rPr>
          <w:lang w:val="es-ES"/>
        </w:rPr>
        <w:t>;</w:t>
      </w:r>
      <w:r>
        <w:rPr>
          <w:lang w:val="es-ES"/>
        </w:rPr>
        <w:t xml:space="preserve"> en </w:t>
      </w:r>
      <w:r w:rsidR="005D1665">
        <w:rPr>
          <w:lang w:val="es-ES"/>
        </w:rPr>
        <w:t xml:space="preserve">la </w:t>
      </w:r>
      <w:r w:rsidR="0019343D">
        <w:rPr>
          <w:lang w:val="es-ES"/>
        </w:rPr>
        <w:t xml:space="preserve">Audiencia de </w:t>
      </w:r>
      <w:r w:rsidR="005B4621">
        <w:rPr>
          <w:lang w:val="es-ES"/>
        </w:rPr>
        <w:t>presentación</w:t>
      </w:r>
      <w:r w:rsidR="0019343D">
        <w:rPr>
          <w:lang w:val="es-ES"/>
        </w:rPr>
        <w:t xml:space="preserve"> de </w:t>
      </w:r>
      <w:r w:rsidR="005B4621">
        <w:rPr>
          <w:lang w:val="es-ES"/>
        </w:rPr>
        <w:t xml:space="preserve">las </w:t>
      </w:r>
      <w:r w:rsidR="0019343D">
        <w:rPr>
          <w:lang w:val="es-ES"/>
        </w:rPr>
        <w:t>Ofertas, las sociedades postulantes deberán entregar lo siguiente:</w:t>
      </w:r>
    </w:p>
    <w:p w14:paraId="37784A45" w14:textId="624C8C86" w:rsidR="00A2763C" w:rsidRPr="00A2763C" w:rsidRDefault="0019343D" w:rsidP="00CD1801">
      <w:pPr>
        <w:pStyle w:val="xnormal"/>
        <w:numPr>
          <w:ilvl w:val="0"/>
          <w:numId w:val="13"/>
        </w:numPr>
      </w:pPr>
      <w:r w:rsidRPr="006A7A0E">
        <w:rPr>
          <w:b/>
          <w:u w:val="single"/>
        </w:rPr>
        <w:lastRenderedPageBreak/>
        <w:t>Carpeta Virtual de Oferta Técnica:</w:t>
      </w:r>
      <w:r>
        <w:t xml:space="preserve"> Paquete virtual generado por la aplicación creada por la Superintendencia</w:t>
      </w:r>
      <w:r w:rsidR="003469AF">
        <w:t xml:space="preserve"> </w:t>
      </w:r>
      <w:r>
        <w:t xml:space="preserve">para </w:t>
      </w:r>
      <w:r w:rsidR="005D1665">
        <w:t>el P</w:t>
      </w:r>
      <w:r>
        <w:t xml:space="preserve">roceso, según detalla el Manual de Usuario del Sistema </w:t>
      </w:r>
      <w:r w:rsidR="00DB7913">
        <w:t xml:space="preserve">Informático </w:t>
      </w:r>
      <w:r>
        <w:t>de Postulación a un Permiso de Operación, anexo a estas Bases.</w:t>
      </w:r>
    </w:p>
    <w:p w14:paraId="1CC6008D" w14:textId="2DB7DF93" w:rsidR="00A62B16" w:rsidRDefault="00A62B16" w:rsidP="00CD1801">
      <w:pPr>
        <w:pStyle w:val="xnormal"/>
        <w:numPr>
          <w:ilvl w:val="0"/>
          <w:numId w:val="12"/>
        </w:numPr>
      </w:pPr>
      <w:r w:rsidRPr="006A7A0E">
        <w:rPr>
          <w:b/>
        </w:rPr>
        <w:t>Carpeta Física de Oferta Técnica:</w:t>
      </w:r>
      <w:r>
        <w:t xml:space="preserve"> Contiene </w:t>
      </w:r>
      <w:r w:rsidR="005D1665">
        <w:t>un sobre</w:t>
      </w:r>
      <w:r w:rsidR="003469AF">
        <w:t xml:space="preserve"> o carpeta</w:t>
      </w:r>
      <w:r w:rsidR="005D1665">
        <w:t xml:space="preserve"> con </w:t>
      </w:r>
      <w:r>
        <w:t xml:space="preserve">la versión impresa y los originales, según corresponda, de todos los documentos que componen la Oferta Técnica de la sociedad </w:t>
      </w:r>
      <w:r w:rsidR="005D1665">
        <w:t xml:space="preserve">solicitante </w:t>
      </w:r>
      <w:r w:rsidR="00A64D67" w:rsidRPr="00A2763C">
        <w:t>:</w:t>
      </w:r>
    </w:p>
    <w:p w14:paraId="730FDFA3" w14:textId="58E148E7" w:rsidR="0019343D" w:rsidRDefault="0019343D" w:rsidP="00CD1801">
      <w:pPr>
        <w:pStyle w:val="xnormal"/>
        <w:numPr>
          <w:ilvl w:val="0"/>
          <w:numId w:val="12"/>
        </w:numPr>
      </w:pPr>
      <w:r w:rsidRPr="006A7A0E">
        <w:rPr>
          <w:b/>
          <w:u w:val="single"/>
        </w:rPr>
        <w:t xml:space="preserve">Reporte impreso generado por el Sistema </w:t>
      </w:r>
      <w:r w:rsidR="00DB7913" w:rsidRPr="006A7A0E">
        <w:rPr>
          <w:b/>
          <w:u w:val="single"/>
        </w:rPr>
        <w:t xml:space="preserve">Informático </w:t>
      </w:r>
      <w:r w:rsidRPr="006A7A0E">
        <w:rPr>
          <w:b/>
          <w:u w:val="single"/>
        </w:rPr>
        <w:t>de Postulación a un Permiso de Operación</w:t>
      </w:r>
      <w:r w:rsidR="00DB7913" w:rsidRPr="006A7A0E">
        <w:rPr>
          <w:b/>
          <w:u w:val="single"/>
        </w:rPr>
        <w:t xml:space="preserve"> (SOPO-SCJ)</w:t>
      </w:r>
      <w:r>
        <w:t xml:space="preserve">. Este reporte contiene un resumen del contenido del Formulario de Postulación y el detalle de los archivos adjuntos. Se debe entregar impreso y firmado por el representante legal de la sociedad </w:t>
      </w:r>
      <w:r w:rsidR="005D1665">
        <w:t xml:space="preserve">solicitante </w:t>
      </w:r>
      <w:r w:rsidR="00A62B16">
        <w:t xml:space="preserve"> que realiza la oferta, pasando a formar parte de la carpeta física de Oferta Técnica.</w:t>
      </w:r>
    </w:p>
    <w:p w14:paraId="430355D1" w14:textId="0208DDA7" w:rsidR="006B3E63" w:rsidRPr="00B1576D" w:rsidRDefault="006B3E63" w:rsidP="00CD1801">
      <w:pPr>
        <w:pStyle w:val="xnormal"/>
        <w:numPr>
          <w:ilvl w:val="0"/>
          <w:numId w:val="12"/>
        </w:numPr>
      </w:pPr>
      <w:r w:rsidRPr="006A7A0E">
        <w:rPr>
          <w:b/>
          <w:u w:val="single"/>
        </w:rPr>
        <w:t>Oferta Económica:</w:t>
      </w:r>
      <w:r>
        <w:t xml:space="preserve"> Impresa y en un sobre</w:t>
      </w:r>
      <w:r w:rsidR="003469AF">
        <w:t xml:space="preserve"> cerrado</w:t>
      </w:r>
      <w:r>
        <w:t>, en los términos que definen estas Bases.</w:t>
      </w:r>
    </w:p>
    <w:p w14:paraId="72001873" w14:textId="292BFB94" w:rsidR="00A64D67" w:rsidRPr="001933E7" w:rsidRDefault="00A64D67" w:rsidP="006A7A0E">
      <w:r w:rsidRPr="00EC78BC">
        <w:t>Se levantará acta de la recepción de las ofertas técnicas y económicas</w:t>
      </w:r>
      <w:r w:rsidRPr="0071284E">
        <w:t>.</w:t>
      </w:r>
    </w:p>
    <w:p w14:paraId="6E6FCDDB" w14:textId="33C91D51" w:rsidR="001F141B" w:rsidRDefault="00CA047A" w:rsidP="00946400">
      <w:pPr>
        <w:pStyle w:val="Ttulo2"/>
      </w:pPr>
      <w:bookmarkStart w:id="51" w:name="_Toc442446340"/>
      <w:bookmarkStart w:id="52" w:name="_Toc442462333"/>
      <w:bookmarkStart w:id="53" w:name="_Toc442463412"/>
      <w:bookmarkStart w:id="54" w:name="_Toc442463856"/>
      <w:bookmarkStart w:id="55" w:name="_Toc442464540"/>
      <w:bookmarkStart w:id="56" w:name="_Toc442467082"/>
      <w:bookmarkStart w:id="57" w:name="_Toc448326250"/>
      <w:bookmarkEnd w:id="51"/>
      <w:bookmarkEnd w:id="52"/>
      <w:bookmarkEnd w:id="53"/>
      <w:bookmarkEnd w:id="54"/>
      <w:bookmarkEnd w:id="55"/>
      <w:bookmarkEnd w:id="56"/>
      <w:r>
        <w:t>Contenido de la Oferta Técnica y Económica</w:t>
      </w:r>
      <w:bookmarkEnd w:id="57"/>
    </w:p>
    <w:p w14:paraId="18624130" w14:textId="08EB34E8" w:rsidR="00290422" w:rsidRDefault="00074494" w:rsidP="006A7A0E">
      <w:r>
        <w:t>La Oferta Técnica deberá contener los antecedentes necesarios para dar cumplimiento a los requisitos señalados en la Ley</w:t>
      </w:r>
      <w:r w:rsidR="005D1665">
        <w:t xml:space="preserve"> de Casinos y </w:t>
      </w:r>
      <w:r>
        <w:t>el artículo 13 del Reglamento</w:t>
      </w:r>
      <w:r w:rsidR="00290422">
        <w:t>.</w:t>
      </w:r>
      <w:r w:rsidR="00290422" w:rsidRPr="00290422">
        <w:t xml:space="preserve"> El incumplimiento de lo anterior hará que la oferta se tenga por no presentada</w:t>
      </w:r>
      <w:r w:rsidR="00290422">
        <w:t xml:space="preserve"> </w:t>
      </w:r>
      <w:r w:rsidR="00290422" w:rsidRPr="00290422">
        <w:t>lo que dará término anticipado a la evaluación</w:t>
      </w:r>
      <w:r w:rsidR="003469AF">
        <w:t>, según se indica</w:t>
      </w:r>
      <w:r w:rsidR="00290422">
        <w:t>.</w:t>
      </w:r>
      <w:r w:rsidR="00290422" w:rsidRPr="00290422">
        <w:t xml:space="preserve"> La conformación de la Oferta Económica, debe permitir a la Superintendencia de Casinos de Juego llevar a cabo la evaluación en tiempo y forma, consistentemente con la Metodología de Evaluación Técnica que forma parte de estas Bases.</w:t>
      </w:r>
    </w:p>
    <w:p w14:paraId="52393ACD" w14:textId="4259656C" w:rsidR="00305770" w:rsidRDefault="00305770" w:rsidP="006A7A0E">
      <w:r>
        <w:t xml:space="preserve"> </w:t>
      </w:r>
    </w:p>
    <w:p w14:paraId="7891A834" w14:textId="11696E1F" w:rsidR="00606A3B" w:rsidRDefault="00290422" w:rsidP="006A7A0E">
      <w:r>
        <w:t xml:space="preserve">La </w:t>
      </w:r>
      <w:r w:rsidR="00305770" w:rsidRPr="006A7A0E">
        <w:t>Oferta Técnica estará encabezada por el Formulario de Postulación a un permiso de operación, que se obtiene como reporte del Sistema Informático de Postulación a un Permiso de Operación (SOPO-SCJ), de la forma que detalla el Manual de Usuario respectivo; y adicionalmente por los</w:t>
      </w:r>
      <w:r w:rsidR="00606A3B">
        <w:t xml:space="preserve"> documentos detallados en esta sección.</w:t>
      </w:r>
    </w:p>
    <w:p w14:paraId="06EEDC03" w14:textId="77777777" w:rsidR="00606A3B" w:rsidRPr="006A7A0E" w:rsidRDefault="00606A3B" w:rsidP="006A7A0E">
      <w:r>
        <w:t>En relación a la Sociedad Postulante, se deben adjuntar los siguientes documentos:</w:t>
      </w: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F021F4" w:rsidRPr="00F021F4" w14:paraId="52D9FB72" w14:textId="77777777" w:rsidTr="00F021F4">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B2227" w14:textId="77777777" w:rsidR="00F021F4" w:rsidRPr="00F021F4" w:rsidRDefault="00F021F4" w:rsidP="00F021F4">
            <w:pPr>
              <w:widowControl/>
              <w:spacing w:after="0"/>
              <w:ind w:left="0"/>
              <w:jc w:val="left"/>
              <w:rPr>
                <w:rFonts w:asciiTheme="minorHAnsi" w:hAnsiTheme="minorHAnsi" w:cs="Times New Roman"/>
                <w:b/>
                <w:bCs/>
                <w:color w:val="000000"/>
                <w:sz w:val="22"/>
                <w:lang w:eastAsia="es-419"/>
              </w:rPr>
            </w:pPr>
            <w:r w:rsidRPr="00F021F4">
              <w:rPr>
                <w:rFonts w:asciiTheme="minorHAnsi" w:hAnsiTheme="minorHAnsi" w:cs="Times New Roman"/>
                <w:b/>
                <w:bCs/>
                <w:color w:val="000000"/>
                <w:sz w:val="22"/>
                <w:lang w:eastAsia="es-419"/>
              </w:rPr>
              <w:t>DOCUMENTOS SOCIEDAD OPERADORA (SO)</w:t>
            </w:r>
          </w:p>
        </w:tc>
      </w:tr>
      <w:tr w:rsidR="00F021F4" w:rsidRPr="00F021F4" w14:paraId="7792FDC8" w14:textId="77777777" w:rsidTr="00F021F4">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F9036FC" w14:textId="77777777" w:rsidR="00F021F4" w:rsidRPr="00F021F4" w:rsidRDefault="00F021F4" w:rsidP="00F021F4">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A9A0A9C" w14:textId="77777777" w:rsidR="00F021F4" w:rsidRPr="00F021F4" w:rsidRDefault="00F021F4" w:rsidP="00F021F4">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295CAD3" w14:textId="77777777" w:rsidR="00F021F4" w:rsidRPr="00F021F4" w:rsidRDefault="00F021F4" w:rsidP="00F021F4">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F021F4" w:rsidRPr="00F021F4" w14:paraId="2D1BE6FE" w14:textId="77777777" w:rsidTr="00F021F4">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D1EC8AE" w14:textId="77777777" w:rsidR="00F021F4" w:rsidRPr="00F021F4" w:rsidRDefault="00F021F4" w:rsidP="00F021F4">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105B220" w14:textId="77777777" w:rsidR="00F021F4" w:rsidRPr="00F021F4" w:rsidRDefault="00F021F4" w:rsidP="00F021F4">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8F3337" w14:textId="77777777" w:rsidR="00F021F4" w:rsidRPr="00F021F4" w:rsidRDefault="00F021F4" w:rsidP="00F021F4">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AACAAA8" w14:textId="77777777" w:rsidR="00F021F4" w:rsidRPr="00F021F4" w:rsidRDefault="00F021F4" w:rsidP="00F021F4">
            <w:pPr>
              <w:widowControl/>
              <w:spacing w:after="0"/>
              <w:ind w:left="0"/>
              <w:jc w:val="left"/>
              <w:rPr>
                <w:rFonts w:asciiTheme="minorHAnsi" w:hAnsiTheme="minorHAnsi" w:cs="Times New Roman"/>
                <w:b/>
                <w:bCs/>
                <w:color w:val="000000"/>
                <w:sz w:val="22"/>
                <w:lang w:val="es-419" w:eastAsia="es-419"/>
              </w:rPr>
            </w:pPr>
          </w:p>
        </w:tc>
      </w:tr>
      <w:tr w:rsidR="00F021F4" w:rsidRPr="00F021F4" w14:paraId="5EBFBFD7" w14:textId="77777777" w:rsidTr="00F021F4">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227970B2"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17</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27E52F03"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9, 13.a</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95178"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73817" w14:textId="14B25110" w:rsidR="00F021F4" w:rsidRPr="00F021F4" w:rsidRDefault="00290422" w:rsidP="00290422">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eastAsia="es-419"/>
              </w:rPr>
              <w:t>Copia de la e</w:t>
            </w:r>
            <w:r w:rsidR="00F021F4" w:rsidRPr="00F021F4">
              <w:rPr>
                <w:rFonts w:asciiTheme="minorHAnsi" w:hAnsiTheme="minorHAnsi" w:cs="Times New Roman"/>
                <w:color w:val="000000"/>
                <w:sz w:val="22"/>
                <w:lang w:eastAsia="es-419"/>
              </w:rPr>
              <w:t xml:space="preserve">scritura </w:t>
            </w:r>
            <w:r>
              <w:rPr>
                <w:rFonts w:asciiTheme="minorHAnsi" w:hAnsiTheme="minorHAnsi" w:cs="Times New Roman"/>
                <w:color w:val="000000"/>
                <w:sz w:val="22"/>
                <w:lang w:eastAsia="es-419"/>
              </w:rPr>
              <w:t xml:space="preserve">pública con vigencia </w:t>
            </w:r>
            <w:r w:rsidR="00F021F4" w:rsidRPr="00F021F4">
              <w:rPr>
                <w:rFonts w:asciiTheme="minorHAnsi" w:hAnsiTheme="minorHAnsi" w:cs="Times New Roman"/>
                <w:color w:val="000000"/>
                <w:sz w:val="22"/>
                <w:lang w:eastAsia="es-419"/>
              </w:rPr>
              <w:t>de constitución sociedad postulante.</w:t>
            </w:r>
          </w:p>
        </w:tc>
      </w:tr>
      <w:tr w:rsidR="00F021F4" w:rsidRPr="00F021F4" w14:paraId="554AF38D"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7D2F941C"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55203CA"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81B8C"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5A86B" w14:textId="17DC9653" w:rsidR="00F021F4" w:rsidRPr="00F021F4" w:rsidRDefault="00290422" w:rsidP="00290422">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eastAsia="es-419"/>
              </w:rPr>
              <w:t>Copia con vigencia del e</w:t>
            </w:r>
            <w:r w:rsidR="00F021F4" w:rsidRPr="00F021F4">
              <w:rPr>
                <w:rFonts w:asciiTheme="minorHAnsi" w:hAnsiTheme="minorHAnsi" w:cs="Times New Roman"/>
                <w:color w:val="000000"/>
                <w:sz w:val="22"/>
                <w:lang w:eastAsia="es-419"/>
              </w:rPr>
              <w:t>xtracto publicado e inscrito en el Registro de Comercio</w:t>
            </w:r>
            <w:r>
              <w:rPr>
                <w:rFonts w:asciiTheme="minorHAnsi" w:hAnsiTheme="minorHAnsi" w:cs="Times New Roman"/>
                <w:color w:val="000000"/>
                <w:sz w:val="22"/>
                <w:lang w:eastAsia="es-419"/>
              </w:rPr>
              <w:t>.</w:t>
            </w:r>
          </w:p>
        </w:tc>
      </w:tr>
      <w:tr w:rsidR="00F021F4" w:rsidRPr="00F021F4" w14:paraId="7B8C95F9"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76E4A9B"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1D30E2BE"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762F8"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CBD07" w14:textId="1852DEC0" w:rsidR="00F021F4" w:rsidRPr="00F021F4" w:rsidRDefault="00F021F4" w:rsidP="0012297C">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Vigencia</w:t>
            </w:r>
          </w:p>
        </w:tc>
      </w:tr>
      <w:tr w:rsidR="00F021F4" w:rsidRPr="00F021F4" w14:paraId="38244AFB"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5B6268E4"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695EE158"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7EA19"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CA7F5"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Modificaciones a la sociedad, si las hubiere</w:t>
            </w:r>
          </w:p>
        </w:tc>
      </w:tr>
      <w:tr w:rsidR="00F021F4" w:rsidRPr="00F021F4" w14:paraId="1EFB9E72"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35D4517"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C306F41"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8D9AB"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352C7"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Registro de Accionistas de la Sociedad Postulante</w:t>
            </w:r>
          </w:p>
        </w:tc>
      </w:tr>
      <w:tr w:rsidR="00F021F4" w:rsidRPr="00F021F4" w14:paraId="518EBD84"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5FA4286"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5CD6D09D"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13E"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85B2E"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Acta de nombramiento de gerentes y directores</w:t>
            </w:r>
          </w:p>
        </w:tc>
      </w:tr>
      <w:tr w:rsidR="00F021F4" w:rsidRPr="00F021F4" w14:paraId="29244874"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C094791"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3B0B84FB"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95C09"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CB0B7"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Comprobantes de aportes al capital de la sociedad postulante</w:t>
            </w:r>
          </w:p>
        </w:tc>
      </w:tr>
      <w:tr w:rsidR="00F021F4" w:rsidRPr="00F021F4" w14:paraId="2874202B"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FFC5A29"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3F1BD6CC"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C2C59"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E1CD0"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capital pagado</w:t>
            </w:r>
          </w:p>
        </w:tc>
      </w:tr>
      <w:tr w:rsidR="00F021F4" w:rsidRPr="00F021F4" w14:paraId="545738F4"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0A02EBD7"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D1E3EE5"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F9BF9"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SO-09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F95E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RUT sociedad postulante</w:t>
            </w:r>
          </w:p>
        </w:tc>
      </w:tr>
      <w:tr w:rsidR="00F021F4" w:rsidRPr="00F021F4" w14:paraId="4C3D75F2" w14:textId="77777777" w:rsidTr="00F021F4">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3130C7B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76AF14E"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802CC"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SO-10</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00E32"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Inscripción en el Registro de Informantes de la Superintendencia de Valores y Seguros.</w:t>
            </w:r>
          </w:p>
        </w:tc>
      </w:tr>
      <w:tr w:rsidR="00F021F4" w:rsidRPr="00F021F4" w14:paraId="7D4FA5E6" w14:textId="77777777" w:rsidTr="00F021F4">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2A053"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D8112"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13.d</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D5F30"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99180"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Diagrama de participación en la malla societaria</w:t>
            </w:r>
          </w:p>
        </w:tc>
      </w:tr>
      <w:tr w:rsidR="00F021F4" w:rsidRPr="00F021F4" w14:paraId="6D714DDC" w14:textId="77777777" w:rsidTr="00F021F4">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739C76E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20.h</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548AF3B4"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13.e</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4349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2ED96"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deudas tributarias del SII</w:t>
            </w:r>
          </w:p>
        </w:tc>
      </w:tr>
      <w:tr w:rsidR="00F021F4" w:rsidRPr="00F021F4" w14:paraId="1F417466"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2EC4DDDE"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51806BAF"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FF0D7"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740E5"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deuda morosa de la TGR</w:t>
            </w:r>
          </w:p>
        </w:tc>
      </w:tr>
      <w:tr w:rsidR="00F021F4" w:rsidRPr="00F021F4" w14:paraId="78E496B6" w14:textId="77777777" w:rsidTr="00F021F4">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2D1B336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790327E"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DBC1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6115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la Superintendencia de insolvencia y reemprendimiento.</w:t>
            </w:r>
          </w:p>
        </w:tc>
      </w:tr>
      <w:tr w:rsidR="00F021F4" w:rsidRPr="00F021F4" w14:paraId="24C2492F" w14:textId="77777777" w:rsidTr="00F021F4">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6CF55"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CDC9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13.f</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7C900"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6E2A9"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Declaración Jurada  de antecedentes persona jurídica</w:t>
            </w:r>
          </w:p>
        </w:tc>
      </w:tr>
      <w:tr w:rsidR="00F021F4" w:rsidRPr="00F021F4" w14:paraId="12B2C31F" w14:textId="77777777" w:rsidTr="00F021F4">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E571B"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08824"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9.g</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3A50C"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F7A47"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Declaración Jurada inhabilidades Ley 18.046</w:t>
            </w:r>
          </w:p>
        </w:tc>
      </w:tr>
      <w:tr w:rsidR="00F021F4" w:rsidRPr="00F021F4" w14:paraId="61545489" w14:textId="77777777" w:rsidTr="00F021F4">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6EF4411E"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18</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2B731954"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21</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F880D"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34112"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Estados Financieros</w:t>
            </w:r>
          </w:p>
        </w:tc>
      </w:tr>
      <w:tr w:rsidR="00F021F4" w:rsidRPr="00F021F4" w14:paraId="50DBB537"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7B3BF57D"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4645C7ED"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3B153"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6C260"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Declaración de Impuestos</w:t>
            </w:r>
          </w:p>
        </w:tc>
      </w:tr>
      <w:tr w:rsidR="00F021F4" w:rsidRPr="00F021F4" w14:paraId="1257465F"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17C3DEBE"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5044D7BE"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5811E"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SO-19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747B8"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Cartolas Bancarias</w:t>
            </w:r>
          </w:p>
        </w:tc>
      </w:tr>
      <w:tr w:rsidR="00F021F4" w:rsidRPr="00F021F4" w14:paraId="1B3C3FC2"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9336CE6"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4E58ADA"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C71C2"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SO-20</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11E4"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endeudamiento en el sistema financiero</w:t>
            </w:r>
          </w:p>
        </w:tc>
      </w:tr>
      <w:tr w:rsidR="00F021F4" w:rsidRPr="00F021F4" w14:paraId="041051E1" w14:textId="77777777" w:rsidTr="00F021F4">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7166A68D"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A106E74"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A1C1A"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SO-21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4E19F"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Boletín de antecedentes comerciales</w:t>
            </w:r>
          </w:p>
        </w:tc>
      </w:tr>
      <w:tr w:rsidR="00F021F4" w:rsidRPr="00F021F4" w14:paraId="6B6ABA98" w14:textId="77777777" w:rsidTr="00F021F4">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0121D24D"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98D71DF" w14:textId="77777777" w:rsidR="00F021F4" w:rsidRPr="00F021F4" w:rsidRDefault="00F021F4" w:rsidP="00F021F4">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63DB3"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SO-22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9B829" w14:textId="77777777" w:rsidR="00F021F4" w:rsidRPr="00F021F4" w:rsidRDefault="00F021F4" w:rsidP="00F021F4">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Autorización para solicitar información financiera</w:t>
            </w:r>
          </w:p>
        </w:tc>
      </w:tr>
    </w:tbl>
    <w:p w14:paraId="78855C87" w14:textId="77777777" w:rsidR="00606A3B" w:rsidRDefault="00606A3B" w:rsidP="006A7A0E">
      <w:pPr>
        <w:rPr>
          <w:lang w:val="es-419"/>
        </w:rPr>
      </w:pPr>
    </w:p>
    <w:p w14:paraId="2F3BA0A7" w14:textId="33312394" w:rsidR="006A7A0E" w:rsidRDefault="00606A3B" w:rsidP="006A7A0E">
      <w:pPr>
        <w:rPr>
          <w:lang w:val="es-419"/>
        </w:rPr>
      </w:pPr>
      <w:r>
        <w:rPr>
          <w:lang w:val="es-419"/>
        </w:rPr>
        <w:t>A partir</w:t>
      </w:r>
      <w:r w:rsidRPr="00606A3B">
        <w:rPr>
          <w:lang w:val="es-419"/>
        </w:rPr>
        <w:t xml:space="preserve"> la malla de la estructura societaria, se deben identificar todas las personas naturales y jurídicas que serán parte de la evaluación de las ofertas. De acuerdo al artículo 13 letra b) del Reglamento, deben acompañarse los antecedentes solicitados para las entidades, personas jurídicas y personas naturales, que integran el diagrama de estructura societaria de la postulante que poseen el 5% o más de su propiedad consolidada y, asimismo, aquéllos relativos a las personas naturales y jurídicas, que ostenten la calidad de controlador de la postulante, en los términos establecidos para ello en el artículo 97 la Ley N° 18.045, incluidos en ambos casos, los inversionistas institucionales en conformidad a lo establecido en el art 4 bis letra e) del referido cuerpo legal.</w:t>
      </w:r>
      <w:r w:rsidR="00E9264B">
        <w:rPr>
          <w:lang w:val="es-419"/>
        </w:rPr>
        <w:t xml:space="preserve"> Además se debe incorporar la misma información para </w:t>
      </w:r>
      <w:r w:rsidR="00290422">
        <w:rPr>
          <w:lang w:val="es-419"/>
        </w:rPr>
        <w:t xml:space="preserve">el caso de </w:t>
      </w:r>
      <w:r w:rsidR="00E9264B">
        <w:rPr>
          <w:lang w:val="es-419"/>
        </w:rPr>
        <w:t>Directores y Gerentes de la Sociedad Operadora y de  accionistas personas jurídicas que cumplan con las condiciones anteriores.</w:t>
      </w:r>
    </w:p>
    <w:p w14:paraId="1D8EF904" w14:textId="77777777" w:rsidR="00606A3B" w:rsidRDefault="00606A3B" w:rsidP="006A7A0E">
      <w:pPr>
        <w:rPr>
          <w:lang w:val="es-419"/>
        </w:rPr>
      </w:pPr>
      <w:r>
        <w:rPr>
          <w:lang w:val="es-419"/>
        </w:rPr>
        <w:t>Para las personas naturales o jurídicas que cumplan con las condiciones descritas, se deberán considerar los siguientes antecedentes en la Oferta Técnica:</w:t>
      </w: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F021F4" w:rsidRPr="00F021F4" w14:paraId="75F88FE0" w14:textId="77777777" w:rsidTr="00922ED5">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0F3D9D6" w14:textId="77777777" w:rsidR="00F021F4" w:rsidRPr="00F021F4" w:rsidRDefault="00F021F4" w:rsidP="00922ED5">
            <w:pPr>
              <w:widowControl/>
              <w:spacing w:after="0"/>
              <w:ind w:left="0"/>
              <w:jc w:val="left"/>
              <w:rPr>
                <w:rFonts w:asciiTheme="minorHAnsi" w:hAnsiTheme="minorHAnsi" w:cs="Times New Roman"/>
                <w:b/>
                <w:bCs/>
                <w:color w:val="000000"/>
                <w:sz w:val="22"/>
                <w:lang w:eastAsia="es-419"/>
              </w:rPr>
            </w:pPr>
            <w:r w:rsidRPr="00F021F4">
              <w:rPr>
                <w:rFonts w:asciiTheme="minorHAnsi" w:hAnsiTheme="minorHAnsi" w:cs="Times New Roman"/>
                <w:b/>
                <w:bCs/>
                <w:color w:val="000000"/>
                <w:sz w:val="22"/>
                <w:lang w:eastAsia="es-419"/>
              </w:rPr>
              <w:t>DOCUMENTOS ACCIONISTA PERSONA NATURAL (PN)</w:t>
            </w:r>
          </w:p>
        </w:tc>
      </w:tr>
      <w:tr w:rsidR="00F021F4" w:rsidRPr="00F021F4" w14:paraId="06A2A580" w14:textId="77777777" w:rsidTr="00922ED5">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BB479DC"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5B3E5EF"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188C2B6"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F021F4" w:rsidRPr="00F021F4" w14:paraId="51FEA86A" w14:textId="77777777" w:rsidTr="00922ED5">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8B3C9C3"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500267"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78E49C"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E7218B"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r>
      <w:tr w:rsidR="00F021F4" w:rsidRPr="00F021F4" w14:paraId="0ED66A25"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318FB8F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20.a</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71B76FA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13.b</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38C6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CFA98" w14:textId="7F2EB66F" w:rsidR="00F021F4" w:rsidRPr="00F021F4" w:rsidRDefault="00290422" w:rsidP="00290422">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eastAsia="es-419"/>
              </w:rPr>
              <w:t xml:space="preserve">Documento de identidad tipo </w:t>
            </w:r>
            <w:r w:rsidR="00F021F4" w:rsidRPr="00F021F4">
              <w:rPr>
                <w:rFonts w:asciiTheme="minorHAnsi" w:hAnsiTheme="minorHAnsi" w:cs="Times New Roman"/>
                <w:color w:val="000000"/>
                <w:sz w:val="22"/>
                <w:lang w:eastAsia="es-419"/>
              </w:rPr>
              <w:t>Cédula de identidad</w:t>
            </w:r>
            <w:r>
              <w:rPr>
                <w:rFonts w:asciiTheme="minorHAnsi" w:hAnsiTheme="minorHAnsi" w:cs="Times New Roman"/>
                <w:color w:val="000000"/>
                <w:sz w:val="22"/>
                <w:lang w:eastAsia="es-419"/>
              </w:rPr>
              <w:t xml:space="preserve">, </w:t>
            </w:r>
            <w:r w:rsidR="00F021F4" w:rsidRPr="00F021F4">
              <w:rPr>
                <w:rFonts w:asciiTheme="minorHAnsi" w:hAnsiTheme="minorHAnsi" w:cs="Times New Roman"/>
                <w:color w:val="000000"/>
                <w:sz w:val="22"/>
                <w:lang w:eastAsia="es-419"/>
              </w:rPr>
              <w:t xml:space="preserve"> DNI o seguro social</w:t>
            </w:r>
            <w:r>
              <w:rPr>
                <w:rFonts w:asciiTheme="minorHAnsi" w:hAnsiTheme="minorHAnsi" w:cs="Times New Roman"/>
                <w:color w:val="000000"/>
                <w:sz w:val="22"/>
                <w:lang w:eastAsia="es-419"/>
              </w:rPr>
              <w:t xml:space="preserve"> o similares.</w:t>
            </w:r>
          </w:p>
        </w:tc>
      </w:tr>
      <w:tr w:rsidR="00F021F4" w:rsidRPr="00F021F4" w14:paraId="720C6406"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52B2C78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F9CBDAA"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4EAC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2A0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Pasaporte</w:t>
            </w:r>
          </w:p>
        </w:tc>
      </w:tr>
      <w:tr w:rsidR="00F021F4" w:rsidRPr="00F021F4" w14:paraId="5971F9AA"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066225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493FDCF0"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BB6A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323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Nacimiento</w:t>
            </w:r>
          </w:p>
        </w:tc>
      </w:tr>
      <w:tr w:rsidR="00F021F4" w:rsidRPr="00F021F4" w14:paraId="4A876D84"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0483C38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DEFF00C"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8E17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D60C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Matrimonio o Soltería </w:t>
            </w:r>
          </w:p>
        </w:tc>
      </w:tr>
      <w:tr w:rsidR="00F021F4" w:rsidRPr="00F021F4" w14:paraId="3206FD4E"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1410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7FBB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13.f</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F627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1F6D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Antecedentes para fines especiales</w:t>
            </w:r>
          </w:p>
        </w:tc>
      </w:tr>
      <w:tr w:rsidR="00F021F4" w:rsidRPr="00F021F4" w14:paraId="7300981E"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51306E7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20.h</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4A0A4D8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13.e</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E0C4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951B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deudas tributarias del SII</w:t>
            </w:r>
          </w:p>
        </w:tc>
      </w:tr>
      <w:tr w:rsidR="00F021F4" w:rsidRPr="00F021F4" w14:paraId="55000AF9"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78D8B16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C1ABC06"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BF28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4997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deuda morosa de la TGR</w:t>
            </w:r>
          </w:p>
        </w:tc>
      </w:tr>
      <w:tr w:rsidR="00F021F4" w:rsidRPr="00F021F4" w14:paraId="04B774DB"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7DB1DAC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B221853"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BE58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0F01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la Superintendencia de insolvencia y reemprendimiento.</w:t>
            </w:r>
          </w:p>
        </w:tc>
      </w:tr>
      <w:tr w:rsidR="00F021F4" w:rsidRPr="00F021F4" w14:paraId="5F4ACA34"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0D0AA88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18</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6CEF70D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21</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904B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PN-09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65F8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Declaración de Impuestos</w:t>
            </w:r>
          </w:p>
        </w:tc>
      </w:tr>
      <w:tr w:rsidR="00F021F4" w:rsidRPr="00F021F4" w14:paraId="66FA1F0D"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533C0DC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41E93973"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DC66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PN-10</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1E85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Cartolas Bancarias</w:t>
            </w:r>
          </w:p>
        </w:tc>
      </w:tr>
      <w:tr w:rsidR="00F021F4" w:rsidRPr="00F021F4" w14:paraId="1A6ABAAD"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2486155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46ED2F07"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1EE8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PN-11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8290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endeudamiento en el sistema financiero</w:t>
            </w:r>
          </w:p>
        </w:tc>
      </w:tr>
      <w:tr w:rsidR="00F021F4" w:rsidRPr="00F021F4" w14:paraId="4D1DEE98"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0B883D1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49D5935"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3E74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PN-12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D2C6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Boletín de antecedentes comerciales</w:t>
            </w:r>
          </w:p>
        </w:tc>
      </w:tr>
      <w:tr w:rsidR="00F021F4" w:rsidRPr="00F021F4" w14:paraId="3BF433AA"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1057226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9CE7897"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5302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PN-13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4B58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Autorización para solicitar información financiera</w:t>
            </w:r>
          </w:p>
        </w:tc>
      </w:tr>
      <w:tr w:rsidR="00F021F4" w:rsidRPr="00F021F4" w14:paraId="1B00D23F"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D43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21bis.b</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09C4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 xml:space="preserve">Art. 25.b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6FB4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PN-14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3675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Declaración Jurada de participación en Casinos y buen comportamiento</w:t>
            </w:r>
          </w:p>
        </w:tc>
      </w:tr>
      <w:tr w:rsidR="00F021F4" w:rsidRPr="00F021F4" w14:paraId="506204F9"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99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20.a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BE40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13.b</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8E87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PN-15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C09D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Documento que acredite la calidad de controlador, si corresponde.</w:t>
            </w:r>
          </w:p>
        </w:tc>
      </w:tr>
    </w:tbl>
    <w:p w14:paraId="5B65A111" w14:textId="77777777" w:rsidR="00F021F4" w:rsidRDefault="00F021F4" w:rsidP="006A7A0E">
      <w:pPr>
        <w:rPr>
          <w:lang w:val="es-419"/>
        </w:rPr>
      </w:pP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F021F4" w:rsidRPr="00F021F4" w14:paraId="255D4081" w14:textId="77777777" w:rsidTr="00922ED5">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4E0F67F" w14:textId="3E19C014" w:rsidR="00F021F4" w:rsidRPr="00F021F4" w:rsidRDefault="00F021F4" w:rsidP="00290422">
            <w:pPr>
              <w:widowControl/>
              <w:spacing w:after="0"/>
              <w:ind w:left="0"/>
              <w:jc w:val="left"/>
              <w:rPr>
                <w:rFonts w:asciiTheme="minorHAnsi" w:hAnsiTheme="minorHAnsi" w:cs="Times New Roman"/>
                <w:b/>
                <w:bCs/>
                <w:color w:val="000000"/>
                <w:sz w:val="22"/>
                <w:lang w:eastAsia="es-419"/>
              </w:rPr>
            </w:pPr>
            <w:r w:rsidRPr="00F021F4">
              <w:rPr>
                <w:rFonts w:asciiTheme="minorHAnsi" w:hAnsiTheme="minorHAnsi" w:cs="Times New Roman"/>
                <w:b/>
                <w:bCs/>
                <w:color w:val="000000"/>
                <w:sz w:val="22"/>
                <w:lang w:eastAsia="es-419"/>
              </w:rPr>
              <w:t xml:space="preserve">DOCUMENTOS ACCIONISTAS PERSONAS JURÍDICAS </w:t>
            </w:r>
            <w:r w:rsidR="00290422">
              <w:rPr>
                <w:rFonts w:asciiTheme="minorHAnsi" w:hAnsiTheme="minorHAnsi" w:cs="Times New Roman"/>
                <w:b/>
                <w:bCs/>
                <w:color w:val="000000"/>
                <w:sz w:val="22"/>
                <w:lang w:eastAsia="es-419"/>
              </w:rPr>
              <w:t xml:space="preserve">INCLUIDSOS </w:t>
            </w:r>
            <w:r w:rsidRPr="00F021F4">
              <w:rPr>
                <w:rFonts w:asciiTheme="minorHAnsi" w:hAnsiTheme="minorHAnsi" w:cs="Times New Roman"/>
                <w:b/>
                <w:bCs/>
                <w:color w:val="000000"/>
                <w:sz w:val="22"/>
                <w:lang w:eastAsia="es-419"/>
              </w:rPr>
              <w:t xml:space="preserve"> INVERSIONISTAS INSTITUCIONALES (PJ)</w:t>
            </w:r>
          </w:p>
        </w:tc>
      </w:tr>
      <w:tr w:rsidR="00F021F4" w:rsidRPr="00F021F4" w14:paraId="40D90362" w14:textId="77777777" w:rsidTr="00922ED5">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5804A97"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5BA3F66"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51EFCE6"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F021F4" w:rsidRPr="00F021F4" w14:paraId="382547D0" w14:textId="77777777" w:rsidTr="00922ED5">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0639BF1"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862687B"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4F2129"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B7D9A4"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r>
      <w:tr w:rsidR="00F021F4" w:rsidRPr="00F021F4" w14:paraId="611DD753"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0940CB3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17</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15C17A0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9, 13.a</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2AE4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5279F" w14:textId="7CEA8D90" w:rsidR="00F021F4" w:rsidRPr="00F021F4" w:rsidRDefault="00290422" w:rsidP="00290422">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eastAsia="es-419"/>
              </w:rPr>
              <w:t>Copia de la e</w:t>
            </w:r>
            <w:r w:rsidRPr="00290422">
              <w:rPr>
                <w:rFonts w:asciiTheme="minorHAnsi" w:hAnsiTheme="minorHAnsi" w:cs="Times New Roman"/>
                <w:color w:val="000000"/>
                <w:sz w:val="22"/>
                <w:lang w:eastAsia="es-419"/>
              </w:rPr>
              <w:t>scritura pública con vigencia de constitución sociedad postulante.</w:t>
            </w:r>
          </w:p>
        </w:tc>
      </w:tr>
      <w:tr w:rsidR="00F021F4" w:rsidRPr="00F021F4" w14:paraId="34F0222B"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50DA7FD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696647A5"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7732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9CD27" w14:textId="08D8FEEA" w:rsidR="00F021F4" w:rsidRPr="00F021F4" w:rsidRDefault="00290422" w:rsidP="00290422">
            <w:pPr>
              <w:widowControl/>
              <w:spacing w:after="0"/>
              <w:ind w:left="0"/>
              <w:jc w:val="left"/>
              <w:rPr>
                <w:rFonts w:asciiTheme="minorHAnsi" w:hAnsiTheme="minorHAnsi" w:cs="Times New Roman"/>
                <w:color w:val="000000"/>
                <w:sz w:val="22"/>
                <w:lang w:val="es-419" w:eastAsia="es-419"/>
              </w:rPr>
            </w:pPr>
            <w:r w:rsidRPr="00290422">
              <w:rPr>
                <w:rFonts w:asciiTheme="minorHAnsi" w:hAnsiTheme="minorHAnsi" w:cs="Times New Roman"/>
                <w:color w:val="000000"/>
                <w:sz w:val="22"/>
                <w:lang w:eastAsia="es-419"/>
              </w:rPr>
              <w:t>Copia con vigencia del extracto publicado</w:t>
            </w:r>
            <w:r>
              <w:rPr>
                <w:rFonts w:asciiTheme="minorHAnsi" w:hAnsiTheme="minorHAnsi" w:cs="Times New Roman"/>
                <w:color w:val="000000"/>
                <w:sz w:val="22"/>
                <w:lang w:eastAsia="es-419"/>
              </w:rPr>
              <w:t xml:space="preserve"> en el Diario Oficial  </w:t>
            </w:r>
            <w:r w:rsidRPr="00290422">
              <w:rPr>
                <w:rFonts w:asciiTheme="minorHAnsi" w:hAnsiTheme="minorHAnsi" w:cs="Times New Roman"/>
                <w:color w:val="000000"/>
                <w:sz w:val="22"/>
                <w:lang w:eastAsia="es-419"/>
              </w:rPr>
              <w:t xml:space="preserve"> e inscrito en el Registro de Comercio.</w:t>
            </w:r>
          </w:p>
        </w:tc>
      </w:tr>
      <w:tr w:rsidR="00F021F4" w:rsidRPr="00F021F4" w14:paraId="0BC8E7C9"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7B5B8CA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22FFC5A"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0AAC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4D3A9" w14:textId="3E383541"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Vigencia</w:t>
            </w:r>
          </w:p>
        </w:tc>
      </w:tr>
      <w:tr w:rsidR="00F021F4" w:rsidRPr="00F021F4" w14:paraId="50E74CE5"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570B5D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3FFD5000"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2E7B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1326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Modificaciones a la sociedad, si las hubiere</w:t>
            </w:r>
          </w:p>
        </w:tc>
      </w:tr>
      <w:tr w:rsidR="00F021F4" w:rsidRPr="00F021F4" w14:paraId="089C5103"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547DBED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770FFDAC"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3A41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A38A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Registro de Accionistas de la Sociedad</w:t>
            </w:r>
          </w:p>
        </w:tc>
      </w:tr>
      <w:tr w:rsidR="00F021F4" w:rsidRPr="00F021F4" w14:paraId="747A13B4"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FDC9A9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7D242730"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0587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DD89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Acta de nombramiento de gerentes y directores</w:t>
            </w:r>
          </w:p>
        </w:tc>
      </w:tr>
      <w:tr w:rsidR="00F021F4" w:rsidRPr="00F021F4" w14:paraId="0988B9CD"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0A52E94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9CC69F7"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9F76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1FF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RUT sociedad postulante</w:t>
            </w:r>
          </w:p>
        </w:tc>
      </w:tr>
      <w:tr w:rsidR="00F021F4" w:rsidRPr="00F021F4" w14:paraId="366DCBD7"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5D4CAA3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12BCBE9"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A9D1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A117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Inscripción en el Registro de Informantes de la Superintendencia de Valores y Seguros.</w:t>
            </w:r>
          </w:p>
        </w:tc>
      </w:tr>
      <w:tr w:rsidR="00F021F4" w:rsidRPr="00F021F4" w14:paraId="56413E47"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2D31D25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20.h</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6B60432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13.e</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C20C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PJ-09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3542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deudas tributarias del SII</w:t>
            </w:r>
          </w:p>
        </w:tc>
      </w:tr>
      <w:tr w:rsidR="00F021F4" w:rsidRPr="00F021F4" w14:paraId="1BF8E69D"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1FFF146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17BF128F"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7A89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PJ-10</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B0B2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deuda morosa de la TGR</w:t>
            </w:r>
          </w:p>
        </w:tc>
      </w:tr>
      <w:tr w:rsidR="00F021F4" w:rsidRPr="00F021F4" w14:paraId="0B943546"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36B3D50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C0025AA"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1C67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D00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la Superintendencia de insolvencia y reemprendimiento.</w:t>
            </w:r>
          </w:p>
        </w:tc>
      </w:tr>
      <w:tr w:rsidR="00F021F4" w:rsidRPr="00F021F4" w14:paraId="3F7CF6A5"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C6FC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269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13.f</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6AF1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7EF8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Declaración Jurada  de antecedentes persona jurídica</w:t>
            </w:r>
          </w:p>
        </w:tc>
      </w:tr>
      <w:tr w:rsidR="00F021F4" w:rsidRPr="00F021F4" w14:paraId="129615CE"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380EE14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18</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2DE5F3C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21</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60AF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F47E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Estados Financieros</w:t>
            </w:r>
          </w:p>
        </w:tc>
      </w:tr>
      <w:tr w:rsidR="00F021F4" w:rsidRPr="00F021F4" w14:paraId="644E4D93"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22CF2BD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0D0E2AC"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4899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067E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Declaración de Impuestos</w:t>
            </w:r>
          </w:p>
        </w:tc>
      </w:tr>
      <w:tr w:rsidR="00F021F4" w:rsidRPr="00F021F4" w14:paraId="7773FFE1"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2B02DFA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84A44E3"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175A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C7D6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Cartolas Bancarias</w:t>
            </w:r>
          </w:p>
        </w:tc>
      </w:tr>
      <w:tr w:rsidR="00F021F4" w:rsidRPr="00F021F4" w14:paraId="59ABD7A8"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82C59A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1878C393"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398B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5CAA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endeudamiento en el sistema financiero</w:t>
            </w:r>
          </w:p>
        </w:tc>
      </w:tr>
      <w:tr w:rsidR="00F021F4" w:rsidRPr="00F021F4" w14:paraId="56092624"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07D3F6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4FF5C6BB"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5C0E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58CD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Boletín de antecedentes comerciales</w:t>
            </w:r>
          </w:p>
        </w:tc>
      </w:tr>
      <w:tr w:rsidR="00F021F4" w:rsidRPr="00F021F4" w14:paraId="6112D13E"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38090DA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E5E23C0"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E534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E363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Autorización para solicitar información financiera</w:t>
            </w:r>
          </w:p>
        </w:tc>
      </w:tr>
      <w:tr w:rsidR="00F021F4" w:rsidRPr="00F021F4" w14:paraId="6224282D"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21BA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ABCB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13.b</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782E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PJ-19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6263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Documento que acredite la calidad de controlador, si corresponde.</w:t>
            </w:r>
          </w:p>
        </w:tc>
      </w:tr>
    </w:tbl>
    <w:p w14:paraId="20262249" w14:textId="77777777" w:rsidR="00F021F4" w:rsidRDefault="00F021F4" w:rsidP="006A7A0E">
      <w:pPr>
        <w:rPr>
          <w:lang w:val="es-419"/>
        </w:rPr>
      </w:pPr>
    </w:p>
    <w:p w14:paraId="71FE1F7C" w14:textId="77777777" w:rsidR="00606A3B" w:rsidRDefault="00606A3B" w:rsidP="006A7A0E">
      <w:pPr>
        <w:rPr>
          <w:lang w:val="es-419"/>
        </w:rPr>
      </w:pPr>
      <w:r>
        <w:rPr>
          <w:lang w:val="es-419"/>
        </w:rPr>
        <w:t>Los documentos necesarios para evaluar el Proyecto de Casino y/o el Proyecto Integral de la oferta, son los que se indican en las siguientes tablas:</w:t>
      </w: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F021F4" w:rsidRPr="00F021F4" w14:paraId="63FA224A" w14:textId="77777777" w:rsidTr="00922ED5">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D0AD780" w14:textId="77777777" w:rsidR="00F021F4" w:rsidRPr="00F021F4" w:rsidRDefault="00F021F4" w:rsidP="00922ED5">
            <w:pPr>
              <w:widowControl/>
              <w:spacing w:after="0"/>
              <w:ind w:left="0"/>
              <w:jc w:val="left"/>
              <w:rPr>
                <w:rFonts w:asciiTheme="minorHAnsi" w:hAnsiTheme="minorHAnsi" w:cs="Times New Roman"/>
                <w:b/>
                <w:bCs/>
                <w:color w:val="000000"/>
                <w:sz w:val="22"/>
                <w:lang w:eastAsia="es-419"/>
              </w:rPr>
            </w:pPr>
            <w:r w:rsidRPr="00F021F4">
              <w:rPr>
                <w:rFonts w:asciiTheme="minorHAnsi" w:hAnsiTheme="minorHAnsi" w:cs="Times New Roman"/>
                <w:b/>
                <w:bCs/>
                <w:color w:val="000000"/>
                <w:sz w:val="22"/>
                <w:lang w:eastAsia="es-419"/>
              </w:rPr>
              <w:t>DOCUMENTOS PROYECTO INTEGRAL (PI)</w:t>
            </w:r>
          </w:p>
        </w:tc>
      </w:tr>
      <w:tr w:rsidR="00F021F4" w:rsidRPr="00F021F4" w14:paraId="4557628F" w14:textId="77777777" w:rsidTr="00922ED5">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E025417"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A60BCB7"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C348176"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F021F4" w:rsidRPr="00F021F4" w14:paraId="73350F7F" w14:textId="77777777" w:rsidTr="00922ED5">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46CE7DC"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107A995"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01779F"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56D4F8"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r>
      <w:tr w:rsidR="00F021F4" w:rsidRPr="00F021F4" w14:paraId="1E5E8706"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55A0806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20.b</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096C019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13.o</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49F9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C53F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Memoria de diseño Proyecto Integral</w:t>
            </w:r>
          </w:p>
        </w:tc>
      </w:tr>
      <w:tr w:rsidR="00F021F4" w:rsidRPr="00F021F4" w14:paraId="12726C49"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2B6EA58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ED21127"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D37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755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Programa de desarrollo y ejecución de obras</w:t>
            </w:r>
          </w:p>
        </w:tc>
      </w:tr>
      <w:tr w:rsidR="00F021F4" w:rsidRPr="00F021F4" w14:paraId="3C6E106A"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4AB0E76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20.e</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7FAA9E8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13.o</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FA24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0D7A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Juego de Planos Proyecto Integral</w:t>
            </w:r>
          </w:p>
        </w:tc>
      </w:tr>
      <w:tr w:rsidR="00F021F4" w:rsidRPr="00F021F4" w14:paraId="6FB02F67"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57877D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59996770"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21DB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AA9C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Maqueta Virtual Proyecto Integral</w:t>
            </w:r>
          </w:p>
        </w:tc>
      </w:tr>
      <w:tr w:rsidR="00F021F4" w:rsidRPr="00F021F4" w14:paraId="1F0CBFE8"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551762C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7D35368B"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A72E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7AE7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Fotografías e Imágenes del Proyecto Integral</w:t>
            </w:r>
          </w:p>
        </w:tc>
      </w:tr>
      <w:tr w:rsidR="00F021F4" w:rsidRPr="00F021F4" w14:paraId="129F9D14"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472AF55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5613883D"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E606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4495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Memoria Eficiencia Energética</w:t>
            </w:r>
          </w:p>
        </w:tc>
      </w:tr>
      <w:tr w:rsidR="00F021F4" w:rsidRPr="00F021F4" w14:paraId="4390E253"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1059BA6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5D507C06"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2C90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6B2A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Memoria valores ambientales y patrimoniales</w:t>
            </w:r>
          </w:p>
        </w:tc>
      </w:tr>
      <w:tr w:rsidR="00F021F4" w:rsidRPr="00F021F4" w14:paraId="2A69F5C8"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2847575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53EE0ECD"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AADC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9AD4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Planilla estimativa de puestos de trabajo</w:t>
            </w:r>
          </w:p>
        </w:tc>
      </w:tr>
      <w:tr w:rsidR="00F021F4" w:rsidRPr="00F021F4" w14:paraId="310F3E43"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6C3D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20.g</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3BBD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13.k</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9EB7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PI-09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A1AB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Estudios técnicos complementarios</w:t>
            </w:r>
          </w:p>
        </w:tc>
      </w:tr>
    </w:tbl>
    <w:p w14:paraId="30D46649" w14:textId="77777777" w:rsidR="00F021F4" w:rsidRDefault="00F021F4"/>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F021F4" w:rsidRPr="00F021F4" w14:paraId="37045EAD" w14:textId="77777777" w:rsidTr="00922ED5">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F64BF1B" w14:textId="77777777" w:rsidR="00F021F4" w:rsidRPr="00F021F4" w:rsidRDefault="00F021F4" w:rsidP="00922ED5">
            <w:pPr>
              <w:widowControl/>
              <w:spacing w:after="0"/>
              <w:ind w:left="0"/>
              <w:jc w:val="left"/>
              <w:rPr>
                <w:rFonts w:asciiTheme="minorHAnsi" w:hAnsiTheme="minorHAnsi" w:cs="Times New Roman"/>
                <w:b/>
                <w:bCs/>
                <w:color w:val="000000"/>
                <w:sz w:val="22"/>
                <w:lang w:eastAsia="es-419"/>
              </w:rPr>
            </w:pPr>
            <w:r w:rsidRPr="00F021F4">
              <w:rPr>
                <w:rFonts w:asciiTheme="minorHAnsi" w:hAnsiTheme="minorHAnsi" w:cs="Times New Roman"/>
                <w:b/>
                <w:bCs/>
                <w:color w:val="000000"/>
                <w:sz w:val="22"/>
                <w:lang w:eastAsia="es-419"/>
              </w:rPr>
              <w:t>DOCUMENTOS CASINO DE JUEGOS (CJ)</w:t>
            </w:r>
          </w:p>
        </w:tc>
      </w:tr>
      <w:tr w:rsidR="00F021F4" w:rsidRPr="00F021F4" w14:paraId="5885BEB4" w14:textId="77777777" w:rsidTr="00922ED5">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DB0F3F5"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88BC111"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47A7275"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F021F4" w:rsidRPr="00F021F4" w14:paraId="56673180" w14:textId="77777777" w:rsidTr="00922ED5">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DF1F52E"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657ADDD"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B5F46A"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B6E6D62"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r>
      <w:tr w:rsidR="00F021F4" w:rsidRPr="00F021F4" w14:paraId="0A3A5BD1"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4FE2E0B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4DD4289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13.g</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7289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BFD1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Inscripción de Dominio del Inmueble</w:t>
            </w:r>
          </w:p>
        </w:tc>
      </w:tr>
      <w:tr w:rsidR="00F021F4" w:rsidRPr="00F021F4" w14:paraId="17383B93"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7BE1146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4D88518"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69CE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DD95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hipotecas y gravámenes</w:t>
            </w:r>
          </w:p>
        </w:tc>
      </w:tr>
      <w:tr w:rsidR="00F021F4" w:rsidRPr="00F021F4" w14:paraId="780F8445"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6352283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1DE3141"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471F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3F089" w14:textId="4729B389"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Contrato de arrendamiento o comodato relativos al inmueble en que funcionará el casino de juego, o la promesa de celebrar uno de dichos contratos</w:t>
            </w:r>
            <w:r w:rsidR="007032EC">
              <w:rPr>
                <w:rFonts w:asciiTheme="minorHAnsi" w:hAnsiTheme="minorHAnsi" w:cs="Times New Roman"/>
                <w:color w:val="000000"/>
                <w:sz w:val="22"/>
                <w:lang w:val="es-419" w:eastAsia="es-419"/>
              </w:rPr>
              <w:t xml:space="preserve"> o de celebrar una compraventa</w:t>
            </w:r>
            <w:r w:rsidRPr="00F021F4">
              <w:rPr>
                <w:rFonts w:asciiTheme="minorHAnsi" w:hAnsiTheme="minorHAnsi" w:cs="Times New Roman"/>
                <w:color w:val="000000"/>
                <w:sz w:val="22"/>
                <w:lang w:val="es-419" w:eastAsia="es-419"/>
              </w:rPr>
              <w:t xml:space="preserve"> (sólo en los casos que la sociedad postulante no sea propietaria del inmueble).</w:t>
            </w:r>
          </w:p>
        </w:tc>
      </w:tr>
      <w:tr w:rsidR="00F021F4" w:rsidRPr="00F021F4" w14:paraId="2FA1CD15"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0652365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20.e</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1AFC6BD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13.o</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12F8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A336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Certificado de Informaciones Previas</w:t>
            </w:r>
          </w:p>
        </w:tc>
      </w:tr>
      <w:tr w:rsidR="00F021F4" w:rsidRPr="00F021F4" w14:paraId="75B60882"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D4564F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1A4006E5"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52FA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2A0F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Avalúo Fiscal</w:t>
            </w:r>
          </w:p>
        </w:tc>
      </w:tr>
      <w:tr w:rsidR="00F021F4" w:rsidRPr="00F021F4" w14:paraId="329D1583"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637148D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C03D28C"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0FD0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8E4C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Planos Casino de Juego</w:t>
            </w:r>
          </w:p>
        </w:tc>
      </w:tr>
      <w:tr w:rsidR="00F021F4" w:rsidRPr="00F021F4" w14:paraId="2BF2A49E"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4F4F020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50EA728"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F7BB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A726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Especificaciones Técnicas (EETT) Casino de Juego</w:t>
            </w:r>
          </w:p>
        </w:tc>
      </w:tr>
      <w:tr w:rsidR="00F021F4" w:rsidRPr="00F021F4" w14:paraId="1BA15F0B"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16A20FC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6243F89E"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5AF7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A7CC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Estudio de impacto vial</w:t>
            </w:r>
          </w:p>
        </w:tc>
      </w:tr>
      <w:tr w:rsidR="00F021F4" w:rsidRPr="00F021F4" w14:paraId="3B73A4B9"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18C7FBC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4B136992"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5E32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CJ-09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906B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Plan de Seguridad para el funcionamiento del Casino de juego</w:t>
            </w:r>
          </w:p>
        </w:tc>
      </w:tr>
      <w:tr w:rsidR="00F021F4" w:rsidRPr="00F021F4" w14:paraId="4473B27B"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5E832BE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6938A09F"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6F43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CJ-10</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2BC0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Sistema de CCTV Casino de Juego</w:t>
            </w:r>
          </w:p>
        </w:tc>
      </w:tr>
      <w:tr w:rsidR="00F021F4" w:rsidRPr="00F021F4" w14:paraId="70AA706F"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2592E80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FDC6276"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9FD6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CJ-11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ACBD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Memoria de accesibilidad</w:t>
            </w:r>
          </w:p>
        </w:tc>
      </w:tr>
      <w:tr w:rsidR="00F021F4" w:rsidRPr="00F021F4" w14:paraId="57851E07"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84C2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20.f</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E81D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13.h</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89AE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CJ-12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B82C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Cuadro con licencias de juegos solicitadas</w:t>
            </w:r>
          </w:p>
        </w:tc>
      </w:tr>
      <w:tr w:rsidR="00F021F4" w:rsidRPr="00F021F4" w14:paraId="0380F2B1"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DD78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20.f</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EA0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13.i</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8018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CJ-13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F77B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Cuadro con juegos a operar en las salas de juego cuando se inicie la operación del casino.</w:t>
            </w:r>
          </w:p>
        </w:tc>
      </w:tr>
      <w:tr w:rsidR="00F021F4" w:rsidRPr="00F021F4" w14:paraId="1669535E"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04EB14C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20.f</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498974D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13.j</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3D4F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CJ-14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EBDE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Cuadro con servicios anexos cuya autorización se solicita</w:t>
            </w:r>
          </w:p>
        </w:tc>
      </w:tr>
      <w:tr w:rsidR="00F021F4" w:rsidRPr="00F021F4" w14:paraId="5C4235D6"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61AFF2F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60817CA"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56D1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CJ-15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7A50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Plano de ubicación de servicios anexos</w:t>
            </w:r>
          </w:p>
        </w:tc>
      </w:tr>
    </w:tbl>
    <w:p w14:paraId="7318332C" w14:textId="77777777" w:rsidR="00F021F4" w:rsidRDefault="00F021F4"/>
    <w:p w14:paraId="0270166D" w14:textId="3B939BEB" w:rsidR="00606A3B" w:rsidRDefault="00606A3B">
      <w:r>
        <w:t>El en caso de un proyecto integral, se deben adjuntar además –para cada obra complementaria- los  documentos</w:t>
      </w:r>
      <w:r w:rsidR="00290422">
        <w:t xml:space="preserve"> que se indican a continuación. Se deja constancia que </w:t>
      </w:r>
      <w:r>
        <w:t>las obras complementarias que se desarrollen en predios no contiguos, deben tratarse como obras distintas.</w:t>
      </w: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F021F4" w:rsidRPr="00F021F4" w14:paraId="558AD419" w14:textId="77777777" w:rsidTr="00922ED5">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118F564" w14:textId="77777777" w:rsidR="00F021F4" w:rsidRPr="00F021F4" w:rsidRDefault="00F021F4" w:rsidP="00922ED5">
            <w:pPr>
              <w:widowControl/>
              <w:spacing w:after="0"/>
              <w:ind w:left="0"/>
              <w:jc w:val="left"/>
              <w:rPr>
                <w:rFonts w:asciiTheme="minorHAnsi" w:hAnsiTheme="minorHAnsi" w:cs="Times New Roman"/>
                <w:b/>
                <w:bCs/>
                <w:color w:val="000000"/>
                <w:sz w:val="22"/>
                <w:lang w:eastAsia="es-419"/>
              </w:rPr>
            </w:pPr>
            <w:r w:rsidRPr="00F021F4">
              <w:rPr>
                <w:rFonts w:asciiTheme="minorHAnsi" w:hAnsiTheme="minorHAnsi" w:cs="Times New Roman"/>
                <w:b/>
                <w:bCs/>
                <w:color w:val="000000"/>
                <w:sz w:val="22"/>
                <w:lang w:eastAsia="es-419"/>
              </w:rPr>
              <w:t>DOCUMENTOS OBRAS COMPLEMENTARIAS PROYECTO INTEGRAL (OC)</w:t>
            </w:r>
          </w:p>
        </w:tc>
      </w:tr>
      <w:tr w:rsidR="00F021F4" w:rsidRPr="00F021F4" w14:paraId="3AE1F5ED" w14:textId="77777777" w:rsidTr="00922ED5">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9F79A99"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AF2BF6A"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DA62B90"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F021F4" w:rsidRPr="00F021F4" w14:paraId="0DFD80DC" w14:textId="77777777" w:rsidTr="00922ED5">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9A44AEF"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EDB7163"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399D681"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FC6F04C" w14:textId="77777777" w:rsidR="00F021F4" w:rsidRPr="00F021F4" w:rsidRDefault="00F021F4" w:rsidP="00922ED5">
            <w:pPr>
              <w:widowControl/>
              <w:spacing w:after="0"/>
              <w:ind w:left="0"/>
              <w:jc w:val="left"/>
              <w:rPr>
                <w:rFonts w:asciiTheme="minorHAnsi" w:hAnsiTheme="minorHAnsi" w:cs="Times New Roman"/>
                <w:b/>
                <w:bCs/>
                <w:color w:val="000000"/>
                <w:sz w:val="22"/>
                <w:lang w:val="es-419" w:eastAsia="es-419"/>
              </w:rPr>
            </w:pPr>
          </w:p>
        </w:tc>
      </w:tr>
      <w:tr w:rsidR="00F021F4" w:rsidRPr="00F021F4" w14:paraId="513C1BFA"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5145251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64AD449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13.g</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D2F2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6738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Inscripción de Dominio del Inmueble</w:t>
            </w:r>
          </w:p>
        </w:tc>
      </w:tr>
      <w:tr w:rsidR="00F021F4" w:rsidRPr="00F021F4" w14:paraId="510CD4EA"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0A0A165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4008F81A"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2E32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008C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Certificado de hipotecas y gravámenes</w:t>
            </w:r>
          </w:p>
        </w:tc>
      </w:tr>
      <w:tr w:rsidR="00F021F4" w:rsidRPr="00F021F4" w14:paraId="63AE8122"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7450F80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1495C98"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22AE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3D6A5" w14:textId="25D97101"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 xml:space="preserve">Contrato de arrendamiento o comodato relativos al inmueble, o la promesa de celebrar uno de dichos contratos </w:t>
            </w:r>
            <w:r w:rsidR="007032EC">
              <w:rPr>
                <w:rFonts w:asciiTheme="minorHAnsi" w:hAnsiTheme="minorHAnsi" w:cs="Times New Roman"/>
                <w:color w:val="000000"/>
                <w:sz w:val="22"/>
                <w:lang w:val="es-419" w:eastAsia="es-419"/>
              </w:rPr>
              <w:t xml:space="preserve">o de celebrar una compraventa </w:t>
            </w:r>
            <w:r w:rsidRPr="00F021F4">
              <w:rPr>
                <w:rFonts w:asciiTheme="minorHAnsi" w:hAnsiTheme="minorHAnsi" w:cs="Times New Roman"/>
                <w:color w:val="000000"/>
                <w:sz w:val="22"/>
                <w:lang w:val="es-419" w:eastAsia="es-419"/>
              </w:rPr>
              <w:t>(sólo en los casos que la sociedad postulante no sea propietaria del inmueble).</w:t>
            </w:r>
          </w:p>
        </w:tc>
      </w:tr>
      <w:tr w:rsidR="00F021F4" w:rsidRPr="00F021F4" w14:paraId="4AD56F45"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389CE5A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20.e</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7623B5A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13.o</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D7E8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OC-04</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C8C7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Certificado de Informaciones Previas</w:t>
            </w:r>
          </w:p>
        </w:tc>
      </w:tr>
      <w:tr w:rsidR="00F021F4" w:rsidRPr="00F021F4" w14:paraId="7FC4CA28"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791A933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B8D9293"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CC7E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OC-05</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CB83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Avalúo Fiscal</w:t>
            </w:r>
          </w:p>
        </w:tc>
      </w:tr>
      <w:tr w:rsidR="00F021F4" w:rsidRPr="00F021F4" w14:paraId="78A0C7DC"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B8C641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13E93827"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BE98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OC-06</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C186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Planos Obras Complementarias</w:t>
            </w:r>
          </w:p>
        </w:tc>
      </w:tr>
      <w:tr w:rsidR="00F021F4" w:rsidRPr="00F021F4" w14:paraId="423664C6"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4B2035B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2DB96B73"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BD69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OC-07</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376E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Especificaciones Técnicas (EETT) Obras complementarias</w:t>
            </w:r>
          </w:p>
        </w:tc>
      </w:tr>
      <w:tr w:rsidR="00F021F4" w:rsidRPr="00F021F4" w14:paraId="4C6A2234" w14:textId="77777777" w:rsidTr="00922ED5">
        <w:trPr>
          <w:trHeight w:val="300"/>
        </w:trPr>
        <w:tc>
          <w:tcPr>
            <w:tcW w:w="1126" w:type="dxa"/>
            <w:tcBorders>
              <w:top w:val="nil"/>
              <w:left w:val="single" w:sz="4" w:space="0" w:color="auto"/>
              <w:bottom w:val="nil"/>
              <w:right w:val="single" w:sz="4" w:space="0" w:color="auto"/>
            </w:tcBorders>
            <w:shd w:val="clear" w:color="auto" w:fill="auto"/>
            <w:noWrap/>
            <w:vAlign w:val="center"/>
            <w:hideMark/>
          </w:tcPr>
          <w:p w14:paraId="3BC4D16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nil"/>
              <w:right w:val="single" w:sz="4" w:space="0" w:color="auto"/>
            </w:tcBorders>
            <w:shd w:val="clear" w:color="auto" w:fill="auto"/>
            <w:noWrap/>
            <w:vAlign w:val="center"/>
            <w:hideMark/>
          </w:tcPr>
          <w:p w14:paraId="08A13ABA"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6A5C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OC-08</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34DB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Estudio de impacto vial</w:t>
            </w:r>
          </w:p>
        </w:tc>
      </w:tr>
      <w:tr w:rsidR="00F021F4" w:rsidRPr="00F021F4" w14:paraId="1A972CA0"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1EAEF6D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9414B2F"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E2E2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OC-09</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E67F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Memoria de accesibilidad</w:t>
            </w:r>
          </w:p>
        </w:tc>
      </w:tr>
      <w:tr w:rsidR="00F021F4" w:rsidRPr="00F021F4" w14:paraId="7CF1E010"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7AAF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lastRenderedPageBreak/>
              <w:t>Art. 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6084A"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Art. 9</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8DAD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OC-10</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F7F4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Contratos de administración de Obras e Instalaciones complementarias</w:t>
            </w:r>
          </w:p>
        </w:tc>
      </w:tr>
    </w:tbl>
    <w:p w14:paraId="662DC4E4" w14:textId="77777777" w:rsidR="00F021F4" w:rsidRDefault="00F021F4"/>
    <w:p w14:paraId="04E73B12" w14:textId="37800B77" w:rsidR="00606A3B" w:rsidRDefault="00290422">
      <w:r>
        <w:t xml:space="preserve">En cuanto a la </w:t>
      </w:r>
      <w:r w:rsidR="00606A3B">
        <w:t>presenta</w:t>
      </w:r>
      <w:r>
        <w:t xml:space="preserve">ción de </w:t>
      </w:r>
      <w:r w:rsidR="00606A3B">
        <w:t>la inversión y el origen del financiamiento, se requerirán los siguientes antecedentes:</w:t>
      </w: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606A3B" w:rsidRPr="00F021F4" w14:paraId="4B9886A3" w14:textId="77777777" w:rsidTr="00922ED5">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5D1C5A8" w14:textId="77777777" w:rsidR="00606A3B" w:rsidRPr="00F021F4" w:rsidRDefault="00606A3B" w:rsidP="00922ED5">
            <w:pPr>
              <w:widowControl/>
              <w:spacing w:after="0"/>
              <w:ind w:left="0"/>
              <w:jc w:val="left"/>
              <w:rPr>
                <w:rFonts w:asciiTheme="minorHAnsi" w:hAnsiTheme="minorHAnsi" w:cs="Times New Roman"/>
                <w:b/>
                <w:bCs/>
                <w:color w:val="000000"/>
                <w:sz w:val="22"/>
                <w:lang w:eastAsia="es-419"/>
              </w:rPr>
            </w:pPr>
            <w:r w:rsidRPr="00606A3B">
              <w:rPr>
                <w:rFonts w:asciiTheme="minorHAnsi" w:hAnsiTheme="minorHAnsi" w:cs="Times New Roman"/>
                <w:b/>
                <w:bCs/>
                <w:color w:val="000000"/>
                <w:sz w:val="22"/>
                <w:lang w:eastAsia="es-419"/>
              </w:rPr>
              <w:t>DOCUMENTOS INVERSIÓN Y FINANCIAMIENTO PROYECTO INTEGRAL (IF)</w:t>
            </w:r>
          </w:p>
        </w:tc>
      </w:tr>
      <w:tr w:rsidR="00606A3B" w:rsidRPr="00F021F4" w14:paraId="1BE1860A" w14:textId="77777777" w:rsidTr="00922ED5">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571F56E"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FE14B1C"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10B5C52"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606A3B" w:rsidRPr="00F021F4" w14:paraId="1FF4B509" w14:textId="77777777" w:rsidTr="00922ED5">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5DFF5B7"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E23D47"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55B7CA"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078A8E9"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p>
        </w:tc>
      </w:tr>
      <w:tr w:rsidR="00F021F4" w:rsidRPr="00F021F4" w14:paraId="2C688616"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1CB3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20.b</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D2E74"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13.o</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C0A8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IF-01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DD17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Programa de Inversiones</w:t>
            </w:r>
          </w:p>
        </w:tc>
      </w:tr>
      <w:tr w:rsidR="00F021F4" w:rsidRPr="00F021F4" w14:paraId="75FD0AC5" w14:textId="77777777" w:rsidTr="00922ED5">
        <w:trPr>
          <w:trHeight w:val="300"/>
        </w:trPr>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40ECD00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20.c</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57F4CAA5"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13.o</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07B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IF-02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6CC6C"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Informe económico -financiero del proyecto</w:t>
            </w:r>
          </w:p>
        </w:tc>
      </w:tr>
      <w:tr w:rsidR="00F021F4" w:rsidRPr="00F021F4" w14:paraId="44F1CFA3" w14:textId="77777777" w:rsidTr="00922ED5">
        <w:trPr>
          <w:trHeight w:val="300"/>
        </w:trPr>
        <w:tc>
          <w:tcPr>
            <w:tcW w:w="1126" w:type="dxa"/>
            <w:tcBorders>
              <w:top w:val="nil"/>
              <w:left w:val="single" w:sz="4" w:space="0" w:color="auto"/>
              <w:bottom w:val="single" w:sz="4" w:space="0" w:color="auto"/>
              <w:right w:val="single" w:sz="4" w:space="0" w:color="auto"/>
            </w:tcBorders>
            <w:shd w:val="clear" w:color="auto" w:fill="auto"/>
            <w:noWrap/>
            <w:vAlign w:val="center"/>
            <w:hideMark/>
          </w:tcPr>
          <w:p w14:paraId="079328F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397803F" w14:textId="77777777" w:rsidR="00F021F4" w:rsidRPr="00F021F4" w:rsidRDefault="00F021F4" w:rsidP="00922ED5">
            <w:pPr>
              <w:widowControl/>
              <w:spacing w:after="0"/>
              <w:ind w:left="0"/>
              <w:jc w:val="left"/>
              <w:rPr>
                <w:rFonts w:asciiTheme="minorHAnsi" w:hAnsiTheme="minorHAnsi" w:cs="Times New Roman"/>
                <w:sz w:val="20"/>
                <w:szCs w:val="20"/>
                <w:lang w:val="es-419" w:eastAsia="es-419"/>
              </w:rPr>
            </w:pP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FB5AB"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IF-03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95796"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Comprobante de aportes al financiamiento con recursos propios y de terceros</w:t>
            </w:r>
          </w:p>
        </w:tc>
      </w:tr>
    </w:tbl>
    <w:p w14:paraId="0BB77842" w14:textId="77777777" w:rsidR="00606A3B" w:rsidRDefault="00606A3B"/>
    <w:p w14:paraId="188D3FDD" w14:textId="464499B0" w:rsidR="00922ED5" w:rsidRDefault="00290422">
      <w:r>
        <w:t>L</w:t>
      </w:r>
      <w:r w:rsidR="00922ED5">
        <w:t xml:space="preserve">a Oferta Técnica </w:t>
      </w:r>
      <w:r>
        <w:t xml:space="preserve">se completa con </w:t>
      </w:r>
      <w:r w:rsidR="00922ED5">
        <w:t>las cauciones, garantías y pagos requeridos de acuerdo al siguiente detalle:</w:t>
      </w: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606A3B" w:rsidRPr="00F021F4" w14:paraId="5A800902" w14:textId="77777777" w:rsidTr="00922ED5">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DD7CA7D" w14:textId="77777777" w:rsidR="00606A3B" w:rsidRPr="00F021F4" w:rsidRDefault="00606A3B" w:rsidP="00922ED5">
            <w:pPr>
              <w:widowControl/>
              <w:spacing w:after="0"/>
              <w:ind w:left="0"/>
              <w:jc w:val="left"/>
              <w:rPr>
                <w:rFonts w:asciiTheme="minorHAnsi" w:hAnsiTheme="minorHAnsi" w:cs="Times New Roman"/>
                <w:b/>
                <w:bCs/>
                <w:color w:val="000000"/>
                <w:sz w:val="22"/>
                <w:lang w:eastAsia="es-419"/>
              </w:rPr>
            </w:pPr>
            <w:r w:rsidRPr="00606A3B">
              <w:rPr>
                <w:rFonts w:asciiTheme="minorHAnsi" w:hAnsiTheme="minorHAnsi" w:cs="Times New Roman"/>
                <w:b/>
                <w:bCs/>
                <w:color w:val="000000"/>
                <w:sz w:val="22"/>
                <w:lang w:eastAsia="es-419"/>
              </w:rPr>
              <w:t>DOCUMENTOS DE PAGO Y GARANTÍA (PG)</w:t>
            </w:r>
          </w:p>
        </w:tc>
      </w:tr>
      <w:tr w:rsidR="00606A3B" w:rsidRPr="00F021F4" w14:paraId="2A350C25" w14:textId="77777777" w:rsidTr="00922ED5">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CE66545"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DC7F636"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3D500E"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606A3B" w:rsidRPr="00F021F4" w14:paraId="5F0F8AA5" w14:textId="77777777" w:rsidTr="00922ED5">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01FA003"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84A723F"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0DCEF4"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BC927FB" w14:textId="77777777" w:rsidR="00606A3B" w:rsidRPr="00F021F4" w:rsidRDefault="00606A3B" w:rsidP="00922ED5">
            <w:pPr>
              <w:widowControl/>
              <w:spacing w:after="0"/>
              <w:ind w:left="0"/>
              <w:jc w:val="left"/>
              <w:rPr>
                <w:rFonts w:asciiTheme="minorHAnsi" w:hAnsiTheme="minorHAnsi" w:cs="Times New Roman"/>
                <w:b/>
                <w:bCs/>
                <w:color w:val="000000"/>
                <w:sz w:val="22"/>
                <w:lang w:val="es-419" w:eastAsia="es-419"/>
              </w:rPr>
            </w:pPr>
          </w:p>
        </w:tc>
      </w:tr>
      <w:tr w:rsidR="00F021F4" w:rsidRPr="00F021F4" w14:paraId="318A3BA4"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6BA3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20.i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223B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Art. 13.l</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05688"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PG-01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46457"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Depósito de 1.000 UTM</w:t>
            </w:r>
          </w:p>
        </w:tc>
      </w:tr>
      <w:tr w:rsidR="00F021F4" w:rsidRPr="00F021F4" w14:paraId="32E3A44E"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EDAD9"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20.j</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6941"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13.m</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8EC2F"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PG-02</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98D6E"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Caución o Garantía por el monto de la inversión</w:t>
            </w:r>
          </w:p>
        </w:tc>
      </w:tr>
      <w:tr w:rsidR="00F021F4" w:rsidRPr="00F021F4" w14:paraId="6B25459F" w14:textId="77777777" w:rsidTr="00922ED5">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31B2D"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20.k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7B30"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n-US" w:eastAsia="es-419"/>
              </w:rPr>
              <w:t>Art. 13.n</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0EB93"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PG-03</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A7272" w14:textId="77777777" w:rsidR="00F021F4" w:rsidRPr="00F021F4" w:rsidRDefault="00F021F4" w:rsidP="00922ED5">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eastAsia="es-419"/>
              </w:rPr>
              <w:t>Caución o Garantía por la Oferta Económica</w:t>
            </w:r>
          </w:p>
        </w:tc>
      </w:tr>
    </w:tbl>
    <w:p w14:paraId="0FECC62C" w14:textId="77777777" w:rsidR="006A7A0E" w:rsidRDefault="006A7A0E" w:rsidP="006A7A0E">
      <w:pPr>
        <w:rPr>
          <w:lang w:val="es-ES"/>
        </w:rPr>
      </w:pPr>
    </w:p>
    <w:p w14:paraId="3D8B1C48" w14:textId="77777777" w:rsidR="008425EE" w:rsidRDefault="008425EE" w:rsidP="008425EE">
      <w:pPr>
        <w:rPr>
          <w:lang w:val="es-ES"/>
        </w:rPr>
      </w:pPr>
      <w:r>
        <w:rPr>
          <w:lang w:val="es-ES"/>
        </w:rPr>
        <w:t>Por último, y según corresponda a la Comuna del proceso de otorgamiento de permisos, se deberá acompañar los documentos que permitan evaluar el cumplimiento de las Condiciones Especiales definidas por el Consejo Resolutivo, los que se detallan a continuación.</w:t>
      </w:r>
    </w:p>
    <w:tbl>
      <w:tblPr>
        <w:tblW w:w="8931" w:type="dxa"/>
        <w:tblInd w:w="562" w:type="dxa"/>
        <w:tblCellMar>
          <w:left w:w="70" w:type="dxa"/>
          <w:right w:w="70" w:type="dxa"/>
        </w:tblCellMar>
        <w:tblLook w:val="04A0" w:firstRow="1" w:lastRow="0" w:firstColumn="1" w:lastColumn="0" w:noHBand="0" w:noVBand="1"/>
      </w:tblPr>
      <w:tblGrid>
        <w:gridCol w:w="1701"/>
        <w:gridCol w:w="1701"/>
        <w:gridCol w:w="694"/>
        <w:gridCol w:w="4835"/>
      </w:tblGrid>
      <w:tr w:rsidR="008425EE" w:rsidRPr="00F021F4" w14:paraId="5CE65212" w14:textId="77777777" w:rsidTr="00ED1EF4">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CC8C2CF" w14:textId="77777777" w:rsidR="008425EE" w:rsidRPr="00F021F4" w:rsidRDefault="008425EE" w:rsidP="008425EE">
            <w:pPr>
              <w:widowControl/>
              <w:spacing w:after="0"/>
              <w:ind w:left="0"/>
              <w:jc w:val="left"/>
              <w:rPr>
                <w:rFonts w:asciiTheme="minorHAnsi" w:hAnsiTheme="minorHAnsi" w:cs="Times New Roman"/>
                <w:b/>
                <w:bCs/>
                <w:color w:val="000000"/>
                <w:sz w:val="22"/>
                <w:lang w:eastAsia="es-419"/>
              </w:rPr>
            </w:pPr>
            <w:r>
              <w:rPr>
                <w:rFonts w:asciiTheme="minorHAnsi" w:hAnsiTheme="minorHAnsi" w:cs="Times New Roman"/>
                <w:b/>
                <w:bCs/>
                <w:color w:val="000000"/>
                <w:sz w:val="22"/>
                <w:lang w:eastAsia="es-419"/>
              </w:rPr>
              <w:t>DOCUMENTOS CONDICIONES ESPECIALES</w:t>
            </w:r>
            <w:r w:rsidRPr="00606A3B">
              <w:rPr>
                <w:rFonts w:asciiTheme="minorHAnsi" w:hAnsiTheme="minorHAnsi" w:cs="Times New Roman"/>
                <w:b/>
                <w:bCs/>
                <w:color w:val="000000"/>
                <w:sz w:val="22"/>
                <w:lang w:eastAsia="es-419"/>
              </w:rPr>
              <w:t xml:space="preserve"> (</w:t>
            </w:r>
            <w:r>
              <w:rPr>
                <w:rFonts w:asciiTheme="minorHAnsi" w:hAnsiTheme="minorHAnsi" w:cs="Times New Roman"/>
                <w:b/>
                <w:bCs/>
                <w:color w:val="000000"/>
                <w:sz w:val="22"/>
                <w:lang w:eastAsia="es-419"/>
              </w:rPr>
              <w:t>CE</w:t>
            </w:r>
            <w:r w:rsidRPr="00606A3B">
              <w:rPr>
                <w:rFonts w:asciiTheme="minorHAnsi" w:hAnsiTheme="minorHAnsi" w:cs="Times New Roman"/>
                <w:b/>
                <w:bCs/>
                <w:color w:val="000000"/>
                <w:sz w:val="22"/>
                <w:lang w:eastAsia="es-419"/>
              </w:rPr>
              <w:t>)</w:t>
            </w:r>
          </w:p>
        </w:tc>
      </w:tr>
      <w:tr w:rsidR="008425EE" w:rsidRPr="00F021F4" w14:paraId="5407C88B" w14:textId="77777777" w:rsidTr="00ED1EF4">
        <w:trPr>
          <w:trHeight w:val="300"/>
          <w:tblHeader/>
        </w:trPr>
        <w:tc>
          <w:tcPr>
            <w:tcW w:w="3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AE75256"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69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74E5FE4"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48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4C1A5F0"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8425EE" w:rsidRPr="00F021F4" w14:paraId="1D8A7659" w14:textId="77777777" w:rsidTr="00ED1EF4">
        <w:trPr>
          <w:trHeight w:val="300"/>
          <w:tblHeader/>
        </w:trPr>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9A56CF7"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A520BDB"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69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9DBF60"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p>
        </w:tc>
        <w:tc>
          <w:tcPr>
            <w:tcW w:w="483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C3B885"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p>
        </w:tc>
      </w:tr>
      <w:tr w:rsidR="008425EE" w:rsidRPr="00905A4D" w14:paraId="3899C43E" w14:textId="77777777" w:rsidTr="00ED1EF4">
        <w:trPr>
          <w:trHeight w:val="300"/>
        </w:trPr>
        <w:tc>
          <w:tcPr>
            <w:tcW w:w="1701" w:type="dxa"/>
            <w:tcBorders>
              <w:top w:val="single" w:sz="4" w:space="0" w:color="auto"/>
              <w:left w:val="single" w:sz="4" w:space="0" w:color="auto"/>
              <w:right w:val="single" w:sz="4" w:space="0" w:color="auto"/>
            </w:tcBorders>
            <w:shd w:val="clear" w:color="auto" w:fill="auto"/>
            <w:noWrap/>
            <w:vAlign w:val="center"/>
            <w:hideMark/>
          </w:tcPr>
          <w:p w14:paraId="63EAF85D"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Art. 3 transitorio letra i</w:t>
            </w:r>
          </w:p>
        </w:tc>
        <w:tc>
          <w:tcPr>
            <w:tcW w:w="1701" w:type="dxa"/>
            <w:tcBorders>
              <w:top w:val="single" w:sz="4" w:space="0" w:color="auto"/>
              <w:left w:val="single" w:sz="4" w:space="0" w:color="auto"/>
              <w:right w:val="single" w:sz="4" w:space="0" w:color="auto"/>
            </w:tcBorders>
            <w:shd w:val="clear" w:color="auto" w:fill="auto"/>
            <w:noWrap/>
            <w:vAlign w:val="center"/>
            <w:hideMark/>
          </w:tcPr>
          <w:p w14:paraId="4847054A"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sidRPr="00F021F4">
              <w:rPr>
                <w:rFonts w:asciiTheme="minorHAnsi" w:hAnsiTheme="minorHAnsi" w:cs="Times New Roman"/>
                <w:color w:val="000000"/>
                <w:sz w:val="22"/>
                <w:lang w:val="es-419" w:eastAsia="es-419"/>
              </w:rPr>
              <w:t xml:space="preserve">Art. </w:t>
            </w:r>
            <w:r>
              <w:rPr>
                <w:rFonts w:asciiTheme="minorHAnsi" w:hAnsiTheme="minorHAnsi" w:cs="Times New Roman"/>
                <w:color w:val="000000"/>
                <w:sz w:val="22"/>
                <w:lang w:val="es-419" w:eastAsia="es-419"/>
              </w:rPr>
              <w:t>1 transitorio</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2CB3C"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CE</w:t>
            </w:r>
            <w:r w:rsidRPr="00F021F4">
              <w:rPr>
                <w:rFonts w:asciiTheme="minorHAnsi" w:hAnsiTheme="minorHAnsi" w:cs="Times New Roman"/>
                <w:color w:val="000000"/>
                <w:sz w:val="22"/>
                <w:lang w:val="es-419" w:eastAsia="es-419"/>
              </w:rPr>
              <w:t>-01</w:t>
            </w:r>
          </w:p>
        </w:tc>
        <w:tc>
          <w:tcPr>
            <w:tcW w:w="4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BB774"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eastAsia="es-419"/>
              </w:rPr>
              <w:t>DJ Cumplimiento Oferta Económica Mínima (formato adjunto)</w:t>
            </w:r>
          </w:p>
        </w:tc>
      </w:tr>
      <w:tr w:rsidR="008425EE" w:rsidRPr="00905A4D" w14:paraId="2AE8A578" w14:textId="77777777" w:rsidTr="00ED1EF4">
        <w:trPr>
          <w:trHeight w:val="300"/>
        </w:trPr>
        <w:tc>
          <w:tcPr>
            <w:tcW w:w="1701" w:type="dxa"/>
            <w:tcBorders>
              <w:left w:val="single" w:sz="4" w:space="0" w:color="auto"/>
              <w:right w:val="single" w:sz="4" w:space="0" w:color="auto"/>
            </w:tcBorders>
            <w:shd w:val="clear" w:color="auto" w:fill="auto"/>
            <w:noWrap/>
            <w:vAlign w:val="center"/>
          </w:tcPr>
          <w:p w14:paraId="7E0A55F6" w14:textId="77777777" w:rsidR="008425EE" w:rsidRDefault="008425EE" w:rsidP="008425EE">
            <w:pPr>
              <w:widowControl/>
              <w:spacing w:after="0"/>
              <w:ind w:left="0"/>
              <w:jc w:val="left"/>
              <w:rPr>
                <w:rFonts w:asciiTheme="minorHAnsi" w:hAnsiTheme="minorHAnsi" w:cs="Times New Roman"/>
                <w:color w:val="000000"/>
                <w:sz w:val="22"/>
                <w:lang w:val="es-419" w:eastAsia="es-419"/>
              </w:rPr>
            </w:pPr>
          </w:p>
        </w:tc>
        <w:tc>
          <w:tcPr>
            <w:tcW w:w="1701" w:type="dxa"/>
            <w:tcBorders>
              <w:left w:val="single" w:sz="4" w:space="0" w:color="auto"/>
              <w:right w:val="single" w:sz="4" w:space="0" w:color="auto"/>
            </w:tcBorders>
            <w:shd w:val="clear" w:color="auto" w:fill="auto"/>
            <w:noWrap/>
            <w:vAlign w:val="center"/>
          </w:tcPr>
          <w:p w14:paraId="6D90BD98"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65A8A" w14:textId="77777777" w:rsidR="008425EE"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CE</w:t>
            </w:r>
            <w:r w:rsidRPr="00F021F4">
              <w:rPr>
                <w:rFonts w:asciiTheme="minorHAnsi" w:hAnsiTheme="minorHAnsi" w:cs="Times New Roman"/>
                <w:color w:val="000000"/>
                <w:sz w:val="22"/>
                <w:lang w:val="es-419" w:eastAsia="es-419"/>
              </w:rPr>
              <w:t>-0</w:t>
            </w:r>
            <w:r>
              <w:rPr>
                <w:rFonts w:asciiTheme="minorHAnsi" w:hAnsiTheme="minorHAnsi" w:cs="Times New Roman"/>
                <w:color w:val="000000"/>
                <w:sz w:val="22"/>
                <w:lang w:val="es-419" w:eastAsia="es-419"/>
              </w:rPr>
              <w:t>2</w:t>
            </w:r>
          </w:p>
        </w:tc>
        <w:tc>
          <w:tcPr>
            <w:tcW w:w="4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C56BF" w14:textId="77777777" w:rsidR="008425EE" w:rsidRDefault="008425EE" w:rsidP="008425EE">
            <w:pPr>
              <w:widowControl/>
              <w:spacing w:after="0"/>
              <w:ind w:left="0"/>
              <w:jc w:val="left"/>
              <w:rPr>
                <w:rFonts w:asciiTheme="minorHAnsi" w:hAnsiTheme="minorHAnsi" w:cs="Times New Roman"/>
                <w:color w:val="000000"/>
                <w:sz w:val="22"/>
                <w:lang w:eastAsia="es-419"/>
              </w:rPr>
            </w:pPr>
            <w:r>
              <w:rPr>
                <w:rFonts w:asciiTheme="minorHAnsi" w:hAnsiTheme="minorHAnsi" w:cs="Times New Roman"/>
                <w:color w:val="000000"/>
                <w:sz w:val="22"/>
                <w:lang w:eastAsia="es-419"/>
              </w:rPr>
              <w:t>DJ Complimiento ampliación de infraestructura turística (formato adjunto)</w:t>
            </w:r>
          </w:p>
        </w:tc>
      </w:tr>
      <w:tr w:rsidR="008425EE" w:rsidRPr="00905A4D" w14:paraId="3A1C3CE0" w14:textId="77777777" w:rsidTr="00ED1EF4">
        <w:trPr>
          <w:trHeight w:val="300"/>
        </w:trPr>
        <w:tc>
          <w:tcPr>
            <w:tcW w:w="1701" w:type="dxa"/>
            <w:tcBorders>
              <w:left w:val="single" w:sz="4" w:space="0" w:color="auto"/>
              <w:right w:val="single" w:sz="4" w:space="0" w:color="auto"/>
            </w:tcBorders>
            <w:shd w:val="clear" w:color="auto" w:fill="auto"/>
            <w:noWrap/>
            <w:vAlign w:val="center"/>
          </w:tcPr>
          <w:p w14:paraId="3A20BC65" w14:textId="77777777" w:rsidR="008425EE" w:rsidRDefault="008425EE" w:rsidP="008425EE">
            <w:pPr>
              <w:widowControl/>
              <w:spacing w:after="0"/>
              <w:ind w:left="0"/>
              <w:jc w:val="left"/>
              <w:rPr>
                <w:rFonts w:asciiTheme="minorHAnsi" w:hAnsiTheme="minorHAnsi" w:cs="Times New Roman"/>
                <w:color w:val="000000"/>
                <w:sz w:val="22"/>
                <w:lang w:val="es-419" w:eastAsia="es-419"/>
              </w:rPr>
            </w:pPr>
          </w:p>
        </w:tc>
        <w:tc>
          <w:tcPr>
            <w:tcW w:w="1701" w:type="dxa"/>
            <w:tcBorders>
              <w:left w:val="single" w:sz="4" w:space="0" w:color="auto"/>
              <w:right w:val="single" w:sz="4" w:space="0" w:color="auto"/>
            </w:tcBorders>
            <w:shd w:val="clear" w:color="auto" w:fill="auto"/>
            <w:noWrap/>
            <w:vAlign w:val="center"/>
          </w:tcPr>
          <w:p w14:paraId="14E83354"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5DFAE" w14:textId="77777777" w:rsidR="008425EE"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CE</w:t>
            </w:r>
            <w:r w:rsidRPr="00F021F4">
              <w:rPr>
                <w:rFonts w:asciiTheme="minorHAnsi" w:hAnsiTheme="minorHAnsi" w:cs="Times New Roman"/>
                <w:color w:val="000000"/>
                <w:sz w:val="22"/>
                <w:lang w:val="es-419" w:eastAsia="es-419"/>
              </w:rPr>
              <w:t>-0</w:t>
            </w:r>
            <w:r>
              <w:rPr>
                <w:rFonts w:asciiTheme="minorHAnsi" w:hAnsiTheme="minorHAnsi" w:cs="Times New Roman"/>
                <w:color w:val="000000"/>
                <w:sz w:val="22"/>
                <w:lang w:val="es-419" w:eastAsia="es-419"/>
              </w:rPr>
              <w:t>3</w:t>
            </w:r>
          </w:p>
        </w:tc>
        <w:tc>
          <w:tcPr>
            <w:tcW w:w="4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2D89A" w14:textId="77777777" w:rsidR="008425EE" w:rsidRDefault="008425EE" w:rsidP="008425EE">
            <w:pPr>
              <w:widowControl/>
              <w:spacing w:after="0"/>
              <w:ind w:left="0"/>
              <w:jc w:val="left"/>
              <w:rPr>
                <w:rFonts w:asciiTheme="minorHAnsi" w:hAnsiTheme="minorHAnsi" w:cs="Times New Roman"/>
                <w:color w:val="000000"/>
                <w:sz w:val="22"/>
                <w:lang w:eastAsia="es-419"/>
              </w:rPr>
            </w:pPr>
            <w:r>
              <w:rPr>
                <w:rFonts w:asciiTheme="minorHAnsi" w:hAnsiTheme="minorHAnsi" w:cs="Times New Roman"/>
                <w:color w:val="000000"/>
                <w:sz w:val="22"/>
                <w:lang w:eastAsia="es-419"/>
              </w:rPr>
              <w:t>DJ Cumplimiento Inmueble Municipal (formato adjunto), si corresponde</w:t>
            </w:r>
          </w:p>
        </w:tc>
      </w:tr>
      <w:tr w:rsidR="008425EE" w:rsidRPr="00905A4D" w14:paraId="51E9193F" w14:textId="77777777" w:rsidTr="00ED1EF4">
        <w:trPr>
          <w:trHeight w:val="300"/>
        </w:trPr>
        <w:tc>
          <w:tcPr>
            <w:tcW w:w="1701" w:type="dxa"/>
            <w:tcBorders>
              <w:left w:val="single" w:sz="4" w:space="0" w:color="auto"/>
              <w:right w:val="single" w:sz="4" w:space="0" w:color="auto"/>
            </w:tcBorders>
            <w:shd w:val="clear" w:color="auto" w:fill="auto"/>
            <w:noWrap/>
            <w:vAlign w:val="center"/>
          </w:tcPr>
          <w:p w14:paraId="6858284D" w14:textId="77777777" w:rsidR="008425EE" w:rsidRDefault="008425EE" w:rsidP="008425EE">
            <w:pPr>
              <w:widowControl/>
              <w:spacing w:after="0"/>
              <w:ind w:left="0"/>
              <w:jc w:val="left"/>
              <w:rPr>
                <w:rFonts w:asciiTheme="minorHAnsi" w:hAnsiTheme="minorHAnsi" w:cs="Times New Roman"/>
                <w:color w:val="000000"/>
                <w:sz w:val="22"/>
                <w:lang w:val="es-419" w:eastAsia="es-419"/>
              </w:rPr>
            </w:pPr>
          </w:p>
        </w:tc>
        <w:tc>
          <w:tcPr>
            <w:tcW w:w="1701" w:type="dxa"/>
            <w:tcBorders>
              <w:left w:val="single" w:sz="4" w:space="0" w:color="auto"/>
              <w:right w:val="single" w:sz="4" w:space="0" w:color="auto"/>
            </w:tcBorders>
            <w:shd w:val="clear" w:color="auto" w:fill="auto"/>
            <w:noWrap/>
            <w:vAlign w:val="center"/>
          </w:tcPr>
          <w:p w14:paraId="190F0464"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831D0" w14:textId="77777777" w:rsidR="008425EE"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CE</w:t>
            </w:r>
            <w:r w:rsidRPr="00F021F4">
              <w:rPr>
                <w:rFonts w:asciiTheme="minorHAnsi" w:hAnsiTheme="minorHAnsi" w:cs="Times New Roman"/>
                <w:color w:val="000000"/>
                <w:sz w:val="22"/>
                <w:lang w:val="es-419" w:eastAsia="es-419"/>
              </w:rPr>
              <w:t>-0</w:t>
            </w:r>
            <w:r>
              <w:rPr>
                <w:rFonts w:asciiTheme="minorHAnsi" w:hAnsiTheme="minorHAnsi" w:cs="Times New Roman"/>
                <w:color w:val="000000"/>
                <w:sz w:val="22"/>
                <w:lang w:val="es-419" w:eastAsia="es-419"/>
              </w:rPr>
              <w:t>4</w:t>
            </w:r>
          </w:p>
        </w:tc>
        <w:tc>
          <w:tcPr>
            <w:tcW w:w="4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BEF53" w14:textId="77777777" w:rsidR="008425EE" w:rsidRDefault="008425EE" w:rsidP="008425EE">
            <w:pPr>
              <w:widowControl/>
              <w:spacing w:after="0"/>
              <w:ind w:left="0"/>
              <w:jc w:val="left"/>
              <w:rPr>
                <w:rFonts w:asciiTheme="minorHAnsi" w:hAnsiTheme="minorHAnsi" w:cs="Times New Roman"/>
                <w:color w:val="000000"/>
                <w:sz w:val="22"/>
                <w:lang w:eastAsia="es-419"/>
              </w:rPr>
            </w:pPr>
            <w:r>
              <w:rPr>
                <w:rFonts w:asciiTheme="minorHAnsi" w:hAnsiTheme="minorHAnsi" w:cs="Times New Roman"/>
                <w:color w:val="000000"/>
                <w:sz w:val="22"/>
                <w:lang w:eastAsia="es-419"/>
              </w:rPr>
              <w:t>DJ Transferencia Inmueble (formato adjunto), si corresponde</w:t>
            </w:r>
          </w:p>
        </w:tc>
      </w:tr>
      <w:tr w:rsidR="008425EE" w:rsidRPr="00905A4D" w14:paraId="6067ACB8" w14:textId="77777777" w:rsidTr="00ED1EF4">
        <w:trPr>
          <w:trHeight w:val="300"/>
        </w:trPr>
        <w:tc>
          <w:tcPr>
            <w:tcW w:w="1701" w:type="dxa"/>
            <w:tcBorders>
              <w:left w:val="single" w:sz="4" w:space="0" w:color="auto"/>
              <w:bottom w:val="single" w:sz="4" w:space="0" w:color="auto"/>
              <w:right w:val="single" w:sz="4" w:space="0" w:color="auto"/>
            </w:tcBorders>
            <w:shd w:val="clear" w:color="auto" w:fill="auto"/>
            <w:noWrap/>
            <w:vAlign w:val="center"/>
          </w:tcPr>
          <w:p w14:paraId="767A5469" w14:textId="77777777" w:rsidR="008425EE" w:rsidRDefault="008425EE" w:rsidP="008425EE">
            <w:pPr>
              <w:widowControl/>
              <w:spacing w:after="0"/>
              <w:ind w:left="0"/>
              <w:jc w:val="left"/>
              <w:rPr>
                <w:rFonts w:asciiTheme="minorHAnsi" w:hAnsiTheme="minorHAnsi" w:cs="Times New Roman"/>
                <w:color w:val="000000"/>
                <w:sz w:val="22"/>
                <w:lang w:val="es-419" w:eastAsia="es-419"/>
              </w:rPr>
            </w:pPr>
          </w:p>
        </w:tc>
        <w:tc>
          <w:tcPr>
            <w:tcW w:w="1701" w:type="dxa"/>
            <w:tcBorders>
              <w:left w:val="single" w:sz="4" w:space="0" w:color="auto"/>
              <w:bottom w:val="single" w:sz="4" w:space="0" w:color="auto"/>
              <w:right w:val="single" w:sz="4" w:space="0" w:color="auto"/>
            </w:tcBorders>
            <w:shd w:val="clear" w:color="auto" w:fill="auto"/>
            <w:noWrap/>
            <w:vAlign w:val="center"/>
          </w:tcPr>
          <w:p w14:paraId="4E0527C5"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39280" w14:textId="77777777" w:rsidR="008425EE"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CE</w:t>
            </w:r>
            <w:r w:rsidRPr="00F021F4">
              <w:rPr>
                <w:rFonts w:asciiTheme="minorHAnsi" w:hAnsiTheme="minorHAnsi" w:cs="Times New Roman"/>
                <w:color w:val="000000"/>
                <w:sz w:val="22"/>
                <w:lang w:val="es-419" w:eastAsia="es-419"/>
              </w:rPr>
              <w:t>-0</w:t>
            </w:r>
            <w:r>
              <w:rPr>
                <w:rFonts w:asciiTheme="minorHAnsi" w:hAnsiTheme="minorHAnsi" w:cs="Times New Roman"/>
                <w:color w:val="000000"/>
                <w:sz w:val="22"/>
                <w:lang w:val="es-419" w:eastAsia="es-419"/>
              </w:rPr>
              <w:t>5</w:t>
            </w:r>
          </w:p>
        </w:tc>
        <w:tc>
          <w:tcPr>
            <w:tcW w:w="4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7FB7C" w14:textId="77777777" w:rsidR="008425EE" w:rsidRPr="001B5AE2"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DJ Continuidad trabajadores (formato adjunto)</w:t>
            </w:r>
          </w:p>
        </w:tc>
      </w:tr>
    </w:tbl>
    <w:p w14:paraId="0C95E154" w14:textId="77777777" w:rsidR="008425EE" w:rsidRDefault="008425EE" w:rsidP="008425EE">
      <w:pPr>
        <w:ind w:left="0"/>
        <w:rPr>
          <w:lang w:val="es-ES"/>
        </w:rPr>
      </w:pPr>
    </w:p>
    <w:p w14:paraId="6CF21B12" w14:textId="77777777" w:rsidR="008425EE" w:rsidRDefault="008425EE" w:rsidP="008425EE">
      <w:pPr>
        <w:rPr>
          <w:lang w:val="es-ES"/>
        </w:rPr>
      </w:pPr>
      <w:r>
        <w:rPr>
          <w:lang w:val="es-ES"/>
        </w:rPr>
        <w:t>Adicionalmente, en la audiencia de Presentación de las Ofertas se entregará además, por separado y en un sobre cerrado, la Oferta Económica de cada Sociedad Postulante con la siguiente información:</w:t>
      </w:r>
    </w:p>
    <w:tbl>
      <w:tblPr>
        <w:tblW w:w="8931" w:type="dxa"/>
        <w:tblInd w:w="562" w:type="dxa"/>
        <w:tblCellMar>
          <w:left w:w="70" w:type="dxa"/>
          <w:right w:w="70" w:type="dxa"/>
        </w:tblCellMar>
        <w:tblLook w:val="04A0" w:firstRow="1" w:lastRow="0" w:firstColumn="1" w:lastColumn="0" w:noHBand="0" w:noVBand="1"/>
      </w:tblPr>
      <w:tblGrid>
        <w:gridCol w:w="1126"/>
        <w:gridCol w:w="1276"/>
        <w:gridCol w:w="824"/>
        <w:gridCol w:w="5705"/>
      </w:tblGrid>
      <w:tr w:rsidR="008425EE" w:rsidRPr="00F021F4" w14:paraId="2E3E6B27" w14:textId="77777777" w:rsidTr="00ED1EF4">
        <w:trPr>
          <w:trHeight w:val="300"/>
          <w:tblHeader/>
        </w:trPr>
        <w:tc>
          <w:tcPr>
            <w:tcW w:w="89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F056D4A" w14:textId="77777777" w:rsidR="008425EE" w:rsidRPr="00F021F4" w:rsidRDefault="008425EE" w:rsidP="008425EE">
            <w:pPr>
              <w:widowControl/>
              <w:spacing w:after="0"/>
              <w:ind w:left="0"/>
              <w:jc w:val="left"/>
              <w:rPr>
                <w:rFonts w:asciiTheme="minorHAnsi" w:hAnsiTheme="minorHAnsi" w:cs="Times New Roman"/>
                <w:b/>
                <w:bCs/>
                <w:color w:val="000000"/>
                <w:sz w:val="22"/>
                <w:lang w:eastAsia="es-419"/>
              </w:rPr>
            </w:pPr>
            <w:r>
              <w:rPr>
                <w:rFonts w:asciiTheme="minorHAnsi" w:hAnsiTheme="minorHAnsi" w:cs="Times New Roman"/>
                <w:b/>
                <w:bCs/>
                <w:color w:val="000000"/>
                <w:sz w:val="22"/>
                <w:lang w:eastAsia="es-419"/>
              </w:rPr>
              <w:t>OFERTA ECONÓMICA (OE)</w:t>
            </w:r>
          </w:p>
        </w:tc>
      </w:tr>
      <w:tr w:rsidR="008425EE" w:rsidRPr="00F021F4" w14:paraId="6614EF2E" w14:textId="77777777" w:rsidTr="00ED1EF4">
        <w:trPr>
          <w:trHeight w:val="300"/>
          <w:tblHeader/>
        </w:trPr>
        <w:tc>
          <w:tcPr>
            <w:tcW w:w="24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BA184A5"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Marco Normativo</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E6A80BC"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Cod. Doc</w:t>
            </w:r>
          </w:p>
        </w:tc>
        <w:tc>
          <w:tcPr>
            <w:tcW w:w="570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6D9A17D"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Documento</w:t>
            </w:r>
          </w:p>
        </w:tc>
      </w:tr>
      <w:tr w:rsidR="008425EE" w:rsidRPr="00F021F4" w14:paraId="24D28A0B" w14:textId="77777777" w:rsidTr="00ED1EF4">
        <w:trPr>
          <w:trHeight w:val="300"/>
          <w:tblHeader/>
        </w:trPr>
        <w:tc>
          <w:tcPr>
            <w:tcW w:w="1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C28AF72"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eastAsia="es-419"/>
              </w:rPr>
              <w:t>Ley 19.995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FDF8C4B"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r w:rsidRPr="00F021F4">
              <w:rPr>
                <w:rFonts w:asciiTheme="minorHAnsi" w:hAnsiTheme="minorHAnsi" w:cs="Times New Roman"/>
                <w:b/>
                <w:bCs/>
                <w:color w:val="000000"/>
                <w:sz w:val="22"/>
                <w:lang w:val="es-419" w:eastAsia="es-419"/>
              </w:rPr>
              <w:t>DS 1722</w:t>
            </w:r>
          </w:p>
        </w:tc>
        <w:tc>
          <w:tcPr>
            <w:tcW w:w="82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E15F7F4"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p>
        </w:tc>
        <w:tc>
          <w:tcPr>
            <w:tcW w:w="57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D63C42" w14:textId="77777777" w:rsidR="008425EE" w:rsidRPr="00F021F4" w:rsidRDefault="008425EE" w:rsidP="008425EE">
            <w:pPr>
              <w:widowControl/>
              <w:spacing w:after="0"/>
              <w:ind w:left="0"/>
              <w:jc w:val="left"/>
              <w:rPr>
                <w:rFonts w:asciiTheme="minorHAnsi" w:hAnsiTheme="minorHAnsi" w:cs="Times New Roman"/>
                <w:b/>
                <w:bCs/>
                <w:color w:val="000000"/>
                <w:sz w:val="22"/>
                <w:lang w:val="es-419" w:eastAsia="es-419"/>
              </w:rPr>
            </w:pPr>
          </w:p>
        </w:tc>
      </w:tr>
      <w:tr w:rsidR="008425EE" w:rsidRPr="00F021F4" w14:paraId="76F8D519" w14:textId="77777777" w:rsidTr="00ED1EF4">
        <w:trPr>
          <w:trHeight w:val="300"/>
        </w:trPr>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68836" w14:textId="77777777" w:rsidR="008425EE"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t>Art. 3.k</w:t>
            </w:r>
          </w:p>
          <w:p w14:paraId="61A44CA4"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lastRenderedPageBreak/>
              <w:t>Art. 20.c</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D254A" w14:textId="77777777" w:rsidR="008425EE"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lastRenderedPageBreak/>
              <w:t>Art. 13.p</w:t>
            </w:r>
          </w:p>
          <w:p w14:paraId="342C6F6F"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lastRenderedPageBreak/>
              <w:t>Art. 14</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D05D"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val="es-419" w:eastAsia="es-419"/>
              </w:rPr>
              <w:lastRenderedPageBreak/>
              <w:t>OE</w:t>
            </w:r>
            <w:r w:rsidRPr="00F021F4">
              <w:rPr>
                <w:rFonts w:asciiTheme="minorHAnsi" w:hAnsiTheme="minorHAnsi" w:cs="Times New Roman"/>
                <w:color w:val="000000"/>
                <w:sz w:val="22"/>
                <w:lang w:val="es-419" w:eastAsia="es-419"/>
              </w:rPr>
              <w:t>-01</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54DDC" w14:textId="77777777" w:rsidR="008425EE" w:rsidRPr="00F021F4" w:rsidRDefault="008425EE" w:rsidP="008425EE">
            <w:pPr>
              <w:widowControl/>
              <w:spacing w:after="0"/>
              <w:ind w:left="0"/>
              <w:jc w:val="left"/>
              <w:rPr>
                <w:rFonts w:asciiTheme="minorHAnsi" w:hAnsiTheme="minorHAnsi" w:cs="Times New Roman"/>
                <w:color w:val="000000"/>
                <w:sz w:val="22"/>
                <w:lang w:val="es-419" w:eastAsia="es-419"/>
              </w:rPr>
            </w:pPr>
            <w:r>
              <w:rPr>
                <w:rFonts w:asciiTheme="minorHAnsi" w:hAnsiTheme="minorHAnsi" w:cs="Times New Roman"/>
                <w:color w:val="000000"/>
                <w:sz w:val="22"/>
                <w:lang w:eastAsia="es-419"/>
              </w:rPr>
              <w:t>Oferta Económica (Formato adjunto)</w:t>
            </w:r>
          </w:p>
        </w:tc>
      </w:tr>
    </w:tbl>
    <w:p w14:paraId="43141ABD" w14:textId="77777777" w:rsidR="008425EE" w:rsidRDefault="008425EE" w:rsidP="008425EE">
      <w:pPr>
        <w:rPr>
          <w:lang w:val="es-ES"/>
        </w:rPr>
      </w:pPr>
    </w:p>
    <w:p w14:paraId="581BACBE" w14:textId="53F600B2" w:rsidR="00922ED5" w:rsidRDefault="00922ED5" w:rsidP="006A7A0E">
      <w:pPr>
        <w:rPr>
          <w:lang w:val="es-ES"/>
        </w:rPr>
      </w:pPr>
      <w:r>
        <w:rPr>
          <w:lang w:val="es-ES"/>
        </w:rPr>
        <w:t>La Metodología de Evaluación, anexa a estas Bases desarrolla con mayor detalle el contenido de cada uno de estos documentos y la forma en que serán considerados en las distintas etapas de revisión que llevará la Superintendencia de Casinos de Juego.</w:t>
      </w:r>
    </w:p>
    <w:p w14:paraId="38BEE917" w14:textId="77777777" w:rsidR="00922ED5" w:rsidRDefault="00922ED5" w:rsidP="006A7A0E">
      <w:pPr>
        <w:rPr>
          <w:lang w:val="es-ES"/>
        </w:rPr>
      </w:pPr>
    </w:p>
    <w:p w14:paraId="0F00D8B2" w14:textId="77777777" w:rsidR="00922ED5" w:rsidRDefault="00922ED5" w:rsidP="006A7A0E">
      <w:pPr>
        <w:rPr>
          <w:lang w:val="es-ES"/>
        </w:rPr>
      </w:pPr>
      <w:r>
        <w:rPr>
          <w:lang w:val="es-ES"/>
        </w:rPr>
        <w:t>En general la información de la Oferta Técnica debe estar debidamente emitida por las instituciones que corresponda y contener la información necesaria, por si sólo o en complemento con otros documentos, para realizar la evaluación. En el caso de documentos emitidos en el extranjero deben presentarse debidamente traducidos y legalizados.</w:t>
      </w:r>
    </w:p>
    <w:p w14:paraId="2E85E720" w14:textId="77777777" w:rsidR="00F32165" w:rsidRDefault="00F32165" w:rsidP="006A7A0E">
      <w:pPr>
        <w:rPr>
          <w:lang w:val="es-ES"/>
        </w:rPr>
      </w:pPr>
    </w:p>
    <w:p w14:paraId="620094E2" w14:textId="77777777" w:rsidR="0047664B" w:rsidRDefault="0047664B" w:rsidP="006A7A0E">
      <w:pPr>
        <w:rPr>
          <w:lang w:val="es-ES"/>
        </w:rPr>
      </w:pPr>
      <w:r w:rsidRPr="00B1576D">
        <w:rPr>
          <w:lang w:val="es-ES"/>
        </w:rPr>
        <w:t>Para efectos de orden, seguridad de la información, integridad de la oferta e igualdad de condiciones de las sociedades postulantes, no se aceptarán declaraciones que indiquen que los documentos solicitados ya fueron ingresados en procesos anteriores en esta Superintendencia.</w:t>
      </w:r>
    </w:p>
    <w:p w14:paraId="4B5C8F46" w14:textId="18D49B56" w:rsidR="00791E15" w:rsidRDefault="00CA047A" w:rsidP="00946400">
      <w:pPr>
        <w:pStyle w:val="Ttulo2"/>
      </w:pPr>
      <w:bookmarkStart w:id="58" w:name="_Toc448326251"/>
      <w:bookmarkStart w:id="59" w:name="_Toc442467099"/>
      <w:bookmarkStart w:id="60" w:name="_Toc444101148"/>
      <w:r>
        <w:t>Oferta Económica</w:t>
      </w:r>
      <w:bookmarkEnd w:id="58"/>
    </w:p>
    <w:p w14:paraId="36EED9A8" w14:textId="4EB204F7" w:rsidR="00B6707C" w:rsidRDefault="008425EE" w:rsidP="008425EE">
      <w:r>
        <w:t xml:space="preserve">Como se indicó, la </w:t>
      </w:r>
      <w:r w:rsidR="00F32165">
        <w:t>Oferta Económica se</w:t>
      </w:r>
      <w:r w:rsidR="00F5657C">
        <w:t xml:space="preserve"> deberá </w:t>
      </w:r>
      <w:r w:rsidR="00F32165">
        <w:t>entrega</w:t>
      </w:r>
      <w:r w:rsidR="00F5657C">
        <w:t>r</w:t>
      </w:r>
      <w:r w:rsidR="00F32165">
        <w:t xml:space="preserve"> en la Audiencia de Presentación de la Oferta</w:t>
      </w:r>
      <w:r w:rsidR="002A302D">
        <w:t>s</w:t>
      </w:r>
      <w:r w:rsidR="00F32165">
        <w:t>, en un sobre cerrado que contenga</w:t>
      </w:r>
      <w:r w:rsidR="00B6707C">
        <w:t xml:space="preserve"> formato de la Oferta Económica, anexo a estas Bases, completo y firmado ante notario por el representante legal de la sociedad </w:t>
      </w:r>
      <w:r w:rsidR="002A302D">
        <w:t>solicitante</w:t>
      </w:r>
      <w:r w:rsidR="00F5657C">
        <w:t xml:space="preserve"> </w:t>
      </w:r>
    </w:p>
    <w:p w14:paraId="0420D6EE" w14:textId="0A9C38C2" w:rsidR="00B6707C" w:rsidRDefault="00B6707C" w:rsidP="008425EE">
      <w:r>
        <w:t xml:space="preserve">En el caso que alguno de los antecedentes que forman parte de la Oferta Técnica, detallados en las secciones precedentes, </w:t>
      </w:r>
      <w:r w:rsidR="002A302D">
        <w:t xml:space="preserve">contenga </w:t>
      </w:r>
      <w:r>
        <w:t>información del monto de la oferta económica del postulante,</w:t>
      </w:r>
      <w:r w:rsidR="002A302D">
        <w:t xml:space="preserve"> la oferta se tendrá</w:t>
      </w:r>
      <w:r>
        <w:t xml:space="preserve"> por no </w:t>
      </w:r>
      <w:r w:rsidR="002A302D">
        <w:t xml:space="preserve">presentada conforme lo ordena el inciso final </w:t>
      </w:r>
      <w:r>
        <w:t xml:space="preserve"> </w:t>
      </w:r>
      <w:r w:rsidR="002A302D">
        <w:t>d</w:t>
      </w:r>
      <w:r>
        <w:t>el artículo 13 del</w:t>
      </w:r>
      <w:r w:rsidR="00880AD3">
        <w:t xml:space="preserve"> </w:t>
      </w:r>
      <w:r>
        <w:t xml:space="preserve">Reglamento. </w:t>
      </w:r>
    </w:p>
    <w:p w14:paraId="7AE21437" w14:textId="77777777" w:rsidR="008D4A9A" w:rsidRPr="00227EB4" w:rsidRDefault="00227EB4" w:rsidP="00946400">
      <w:pPr>
        <w:pStyle w:val="Ttulo2"/>
      </w:pPr>
      <w:bookmarkStart w:id="61" w:name="_Toc447791990"/>
      <w:bookmarkStart w:id="62" w:name="_Toc448326252"/>
      <w:r>
        <w:t>Audiencia de Presentación de las Ofertas</w:t>
      </w:r>
      <w:r w:rsidR="008D4A9A" w:rsidRPr="00B1576D">
        <w:t xml:space="preserve"> </w:t>
      </w:r>
      <w:r w:rsidR="005B4621">
        <w:t>Técnicas y Económicas</w:t>
      </w:r>
      <w:bookmarkEnd w:id="61"/>
      <w:bookmarkEnd w:id="62"/>
    </w:p>
    <w:p w14:paraId="4E2E852E" w14:textId="033B6052" w:rsidR="008D4A9A" w:rsidRPr="00B1576D" w:rsidRDefault="008D4A9A" w:rsidP="006A7A0E">
      <w:pPr>
        <w:rPr>
          <w:snapToGrid w:val="0"/>
          <w:lang w:eastAsia="es-CL"/>
        </w:rPr>
      </w:pPr>
      <w:r w:rsidRPr="00B1576D">
        <w:rPr>
          <w:snapToGrid w:val="0"/>
          <w:lang w:eastAsia="es-CL"/>
        </w:rPr>
        <w:t xml:space="preserve">La audiencia de </w:t>
      </w:r>
      <w:r w:rsidR="00F5657C">
        <w:rPr>
          <w:snapToGrid w:val="0"/>
          <w:lang w:eastAsia="es-CL"/>
        </w:rPr>
        <w:t>Presentación de Ofertas s</w:t>
      </w:r>
      <w:r w:rsidRPr="00B1576D">
        <w:rPr>
          <w:snapToGrid w:val="0"/>
          <w:lang w:eastAsia="es-CL"/>
        </w:rPr>
        <w:t xml:space="preserve">e llevará a efecto en la fecha </w:t>
      </w:r>
      <w:r w:rsidR="00074494">
        <w:rPr>
          <w:snapToGrid w:val="0"/>
          <w:lang w:eastAsia="es-CL"/>
        </w:rPr>
        <w:t xml:space="preserve">y hora </w:t>
      </w:r>
      <w:r w:rsidRPr="00B1576D">
        <w:rPr>
          <w:snapToGrid w:val="0"/>
          <w:lang w:eastAsia="es-CL"/>
        </w:rPr>
        <w:t>señalada</w:t>
      </w:r>
      <w:r w:rsidR="00074494">
        <w:rPr>
          <w:snapToGrid w:val="0"/>
          <w:lang w:eastAsia="es-CL"/>
        </w:rPr>
        <w:t xml:space="preserve">s en la Resolución de </w:t>
      </w:r>
      <w:r w:rsidR="00351203">
        <w:rPr>
          <w:snapToGrid w:val="0"/>
          <w:lang w:eastAsia="es-CL"/>
        </w:rPr>
        <w:t>A</w:t>
      </w:r>
      <w:r w:rsidR="00074494">
        <w:rPr>
          <w:snapToGrid w:val="0"/>
          <w:lang w:eastAsia="es-CL"/>
        </w:rPr>
        <w:t>pertura</w:t>
      </w:r>
      <w:r w:rsidRPr="00B1576D">
        <w:rPr>
          <w:snapToGrid w:val="0"/>
          <w:lang w:eastAsia="es-CL"/>
        </w:rPr>
        <w:t>, en las oficinas de la Superintendencia, ubicada en Morandé 360, piso 4, comuna de Santiago.</w:t>
      </w:r>
    </w:p>
    <w:p w14:paraId="43EA6513" w14:textId="77777777" w:rsidR="008425EE" w:rsidRDefault="008D4A9A" w:rsidP="006A7A0E">
      <w:pPr>
        <w:rPr>
          <w:lang w:val="es-ES"/>
        </w:rPr>
      </w:pPr>
      <w:r w:rsidRPr="00B1576D">
        <w:rPr>
          <w:lang w:val="es-ES"/>
        </w:rPr>
        <w:t xml:space="preserve">En dicha audiencia, que será pública, la Superintendencia </w:t>
      </w:r>
      <w:r w:rsidR="00B6707C">
        <w:rPr>
          <w:lang w:val="es-ES"/>
        </w:rPr>
        <w:t xml:space="preserve">recibirá las Ofertas Técnicas y Económicas de los interesados, </w:t>
      </w:r>
      <w:r w:rsidRPr="00B1576D">
        <w:rPr>
          <w:lang w:val="es-ES"/>
        </w:rPr>
        <w:t xml:space="preserve">y verificará </w:t>
      </w:r>
      <w:r w:rsidR="00351203">
        <w:rPr>
          <w:lang w:val="es-ES"/>
        </w:rPr>
        <w:t xml:space="preserve">que </w:t>
      </w:r>
      <w:r w:rsidR="00351203" w:rsidRPr="00351203">
        <w:rPr>
          <w:lang w:val="es-ES"/>
        </w:rPr>
        <w:t>la carpeta virtual de la Oferta Técnica contenga cada uno de los documentos requeridos por esta</w:t>
      </w:r>
      <w:r w:rsidR="008425EE">
        <w:rPr>
          <w:lang w:val="es-ES"/>
        </w:rPr>
        <w:t xml:space="preserve">s Bases; y verificará, además, </w:t>
      </w:r>
      <w:r w:rsidR="00351203" w:rsidRPr="00351203">
        <w:rPr>
          <w:lang w:val="es-ES"/>
        </w:rPr>
        <w:t xml:space="preserve">la presentación </w:t>
      </w:r>
      <w:r w:rsidR="00351203">
        <w:rPr>
          <w:lang w:val="es-ES"/>
        </w:rPr>
        <w:t xml:space="preserve">del </w:t>
      </w:r>
      <w:r w:rsidR="00351203" w:rsidRPr="00351203">
        <w:rPr>
          <w:lang w:val="es-ES"/>
        </w:rPr>
        <w:t>formulario de presentación firmado  y el sobre de</w:t>
      </w:r>
      <w:r w:rsidR="00351203">
        <w:rPr>
          <w:lang w:val="es-ES"/>
        </w:rPr>
        <w:t xml:space="preserve"> </w:t>
      </w:r>
      <w:r w:rsidR="00351203" w:rsidRPr="00351203">
        <w:rPr>
          <w:lang w:val="es-ES"/>
        </w:rPr>
        <w:t>Oferta Económica debidamente cerrado.</w:t>
      </w:r>
    </w:p>
    <w:p w14:paraId="090EA0BE" w14:textId="77777777" w:rsidR="008425EE" w:rsidRDefault="00351203" w:rsidP="006A7A0E">
      <w:pPr>
        <w:rPr>
          <w:lang w:val="es-ES"/>
        </w:rPr>
      </w:pPr>
      <w:r w:rsidRPr="00351203">
        <w:rPr>
          <w:lang w:val="es-ES"/>
        </w:rPr>
        <w:t>Se levantará</w:t>
      </w:r>
      <w:r>
        <w:rPr>
          <w:lang w:val="es-ES"/>
        </w:rPr>
        <w:t xml:space="preserve"> en este acto,</w:t>
      </w:r>
      <w:r w:rsidRPr="00351203">
        <w:rPr>
          <w:lang w:val="es-ES"/>
        </w:rPr>
        <w:t xml:space="preserve"> un acta con lo actuado en esa audiencia, </w:t>
      </w:r>
      <w:r>
        <w:rPr>
          <w:lang w:val="es-ES"/>
        </w:rPr>
        <w:t xml:space="preserve">la que será puesta a disposición de las sociedades solicitantes para que sea firmada por ellas. </w:t>
      </w:r>
    </w:p>
    <w:p w14:paraId="19C12414" w14:textId="77777777" w:rsidR="008425EE" w:rsidRDefault="008425EE" w:rsidP="006A7A0E">
      <w:pPr>
        <w:rPr>
          <w:lang w:val="es-ES"/>
        </w:rPr>
      </w:pPr>
    </w:p>
    <w:p w14:paraId="25BA7085" w14:textId="1775B583" w:rsidR="008D4A9A" w:rsidRPr="00B1576D" w:rsidRDefault="000C6FD2" w:rsidP="006A7A0E">
      <w:pPr>
        <w:rPr>
          <w:lang w:val="es-ES"/>
        </w:rPr>
      </w:pPr>
      <w:r>
        <w:rPr>
          <w:lang w:val="es-ES"/>
        </w:rPr>
        <w:t>La Oferta Técnica quedará en custodia de la Superintendencia</w:t>
      </w:r>
      <w:r w:rsidR="008425EE">
        <w:rPr>
          <w:lang w:val="es-ES"/>
        </w:rPr>
        <w:t xml:space="preserve"> </w:t>
      </w:r>
      <w:r>
        <w:rPr>
          <w:lang w:val="es-ES"/>
        </w:rPr>
        <w:t xml:space="preserve">para dar inicio a la </w:t>
      </w:r>
      <w:r>
        <w:rPr>
          <w:lang w:val="es-ES"/>
        </w:rPr>
        <w:lastRenderedPageBreak/>
        <w:t>evaluación de las mismas.</w:t>
      </w:r>
      <w:r w:rsidR="008425EE">
        <w:rPr>
          <w:lang w:val="es-ES"/>
        </w:rPr>
        <w:t xml:space="preserve"> </w:t>
      </w:r>
      <w:r>
        <w:rPr>
          <w:lang w:val="es-ES"/>
        </w:rPr>
        <w:t>Por otra parte</w:t>
      </w:r>
      <w:r w:rsidR="008D4A9A" w:rsidRPr="00B1576D">
        <w:rPr>
          <w:lang w:val="es-ES"/>
        </w:rPr>
        <w:t xml:space="preserve">, un integrante del Consejo Resolutivo custodiará </w:t>
      </w:r>
      <w:r w:rsidR="00880AD3">
        <w:rPr>
          <w:lang w:val="es-ES"/>
        </w:rPr>
        <w:t xml:space="preserve">los sobre cerrados que contengan </w:t>
      </w:r>
      <w:r w:rsidR="008D4A9A" w:rsidRPr="00B1576D">
        <w:rPr>
          <w:lang w:val="es-ES"/>
        </w:rPr>
        <w:t>las ofertas económicas hasta la audiencia respectiva, depositándola</w:t>
      </w:r>
      <w:r w:rsidR="00880AD3">
        <w:rPr>
          <w:lang w:val="es-ES"/>
        </w:rPr>
        <w:t>s</w:t>
      </w:r>
      <w:r w:rsidR="008D4A9A" w:rsidRPr="00B1576D">
        <w:rPr>
          <w:lang w:val="es-ES"/>
        </w:rPr>
        <w:t xml:space="preserve"> debidamente cerradas con un sello inviolable, en una caja de seguridad perteneciente a la casa matriz de un banco </w:t>
      </w:r>
      <w:r w:rsidR="00880AD3">
        <w:rPr>
          <w:lang w:val="es-ES"/>
        </w:rPr>
        <w:t>domiciliado en Santiago</w:t>
      </w:r>
      <w:r w:rsidR="008D4A9A" w:rsidRPr="00B1576D">
        <w:rPr>
          <w:lang w:val="es-ES"/>
        </w:rPr>
        <w:t>.</w:t>
      </w:r>
    </w:p>
    <w:p w14:paraId="7C7B7707" w14:textId="77777777" w:rsidR="008D4A9A" w:rsidRPr="00B1576D" w:rsidRDefault="008D4A9A" w:rsidP="006A7A0E">
      <w:pPr>
        <w:rPr>
          <w:lang w:val="es-ES"/>
        </w:rPr>
      </w:pPr>
    </w:p>
    <w:p w14:paraId="71F80135" w14:textId="116EC914" w:rsidR="000C6FD2" w:rsidRDefault="008D4A9A" w:rsidP="008425EE">
      <w:pPr>
        <w:rPr>
          <w:snapToGrid w:val="0"/>
          <w:sz w:val="28"/>
        </w:rPr>
      </w:pPr>
      <w:r w:rsidRPr="00B1576D">
        <w:rPr>
          <w:lang w:val="es-ES"/>
        </w:rPr>
        <w:t>Cabe indicar que la verificación de los antecedentes entregados en el proceso de recepción será estrictamente formal, debiendo determinarse su</w:t>
      </w:r>
      <w:r w:rsidR="00880AD3">
        <w:rPr>
          <w:lang w:val="es-ES"/>
        </w:rPr>
        <w:t xml:space="preserve"> mérito y</w:t>
      </w:r>
      <w:r w:rsidRPr="00B1576D">
        <w:rPr>
          <w:lang w:val="es-ES"/>
        </w:rPr>
        <w:t xml:space="preserve"> suficiencia final durante la etapa de evaluación.</w:t>
      </w:r>
      <w:bookmarkEnd w:id="59"/>
      <w:bookmarkEnd w:id="60"/>
      <w:r w:rsidR="000C6FD2">
        <w:br w:type="page"/>
      </w:r>
    </w:p>
    <w:p w14:paraId="52534AB6" w14:textId="77777777" w:rsidR="005903E4" w:rsidRPr="001124FE" w:rsidRDefault="000C6FD2" w:rsidP="006A7A0E">
      <w:pPr>
        <w:pStyle w:val="Ttulo1"/>
      </w:pPr>
      <w:bookmarkStart w:id="63" w:name="_Toc447791991"/>
      <w:bookmarkStart w:id="64" w:name="_Toc448326253"/>
      <w:r>
        <w:lastRenderedPageBreak/>
        <w:t>Evaluación de las Ofertas</w:t>
      </w:r>
      <w:bookmarkEnd w:id="63"/>
      <w:bookmarkEnd w:id="64"/>
    </w:p>
    <w:p w14:paraId="6065F6B7" w14:textId="77777777" w:rsidR="00AF73CE" w:rsidRPr="00B1576D" w:rsidRDefault="0074435F" w:rsidP="00946400">
      <w:pPr>
        <w:pStyle w:val="Ttulo2"/>
      </w:pPr>
      <w:bookmarkStart w:id="65" w:name="_Toc447791992"/>
      <w:bookmarkStart w:id="66" w:name="_Toc448326254"/>
      <w:bookmarkStart w:id="67" w:name="_Toc442467100"/>
      <w:bookmarkStart w:id="68" w:name="_Toc444101149"/>
      <w:r>
        <w:t>Expediente de Evaluación</w:t>
      </w:r>
      <w:bookmarkEnd w:id="65"/>
      <w:bookmarkEnd w:id="66"/>
    </w:p>
    <w:p w14:paraId="42B6B913" w14:textId="683708A2" w:rsidR="00AF73CE" w:rsidRPr="00B1576D" w:rsidRDefault="00AF73CE" w:rsidP="006A7A0E">
      <w:r w:rsidRPr="00B1576D">
        <w:rPr>
          <w:lang w:val="es-ES"/>
        </w:rPr>
        <w:t>A partir de la presentación de las ofertas, la Superintendencia abrirá un expediente por cada sociedad</w:t>
      </w:r>
      <w:r w:rsidR="00880AD3">
        <w:rPr>
          <w:lang w:val="es-ES"/>
        </w:rPr>
        <w:t xml:space="preserve"> postulante</w:t>
      </w:r>
      <w:r w:rsidRPr="00B1576D">
        <w:rPr>
          <w:lang w:val="es-ES"/>
        </w:rPr>
        <w:t xml:space="preserve">, el que se constituirá con todos los documentos, antecedentes, informes y actuaciones, recabados o desarrollados en las diversas etapas del </w:t>
      </w:r>
      <w:r w:rsidR="00880AD3">
        <w:rPr>
          <w:lang w:val="es-ES"/>
        </w:rPr>
        <w:t>P</w:t>
      </w:r>
      <w:r w:rsidRPr="00B1576D">
        <w:rPr>
          <w:lang w:val="es-ES"/>
        </w:rPr>
        <w:t>roceso</w:t>
      </w:r>
      <w:r w:rsidR="008425EE">
        <w:t>.</w:t>
      </w:r>
    </w:p>
    <w:p w14:paraId="76E6EBA2" w14:textId="77777777" w:rsidR="0074435F" w:rsidRPr="00B1576D" w:rsidRDefault="00441199" w:rsidP="00946400">
      <w:pPr>
        <w:pStyle w:val="Ttulo2"/>
      </w:pPr>
      <w:bookmarkStart w:id="69" w:name="_Toc447791993"/>
      <w:bookmarkStart w:id="70" w:name="_Toc448326255"/>
      <w:bookmarkStart w:id="71" w:name="_Toc442467081"/>
      <w:bookmarkStart w:id="72" w:name="_Toc444101142"/>
      <w:r>
        <w:t>Comité Técnico de Evaluación</w:t>
      </w:r>
      <w:bookmarkEnd w:id="69"/>
      <w:bookmarkEnd w:id="70"/>
    </w:p>
    <w:p w14:paraId="2D474985" w14:textId="2253192D" w:rsidR="0074435F" w:rsidRPr="00B1576D" w:rsidRDefault="0074435F" w:rsidP="008425EE">
      <w:pPr>
        <w:rPr>
          <w:lang w:eastAsia="es-CL"/>
        </w:rPr>
      </w:pPr>
      <w:r w:rsidRPr="00B1576D">
        <w:rPr>
          <w:lang w:eastAsia="es-CL"/>
        </w:rPr>
        <w:t xml:space="preserve">Para el cumplimiento de la evaluación de las ofertas técnicas, el Superintendente </w:t>
      </w:r>
      <w:r w:rsidR="00351203">
        <w:rPr>
          <w:lang w:eastAsia="es-CL"/>
        </w:rPr>
        <w:t xml:space="preserve">mediante una resolución exenta, </w:t>
      </w:r>
      <w:r w:rsidRPr="00B1576D">
        <w:rPr>
          <w:lang w:eastAsia="es-CL"/>
        </w:rPr>
        <w:t>constituirá</w:t>
      </w:r>
      <w:r w:rsidR="001933E7">
        <w:rPr>
          <w:lang w:eastAsia="es-CL"/>
        </w:rPr>
        <w:t xml:space="preserve">, </w:t>
      </w:r>
      <w:r w:rsidRPr="00B1576D">
        <w:rPr>
          <w:lang w:eastAsia="es-CL"/>
        </w:rPr>
        <w:t>al interior de la Superintendencia, un Comité Técnico</w:t>
      </w:r>
      <w:r w:rsidR="00441199">
        <w:rPr>
          <w:lang w:eastAsia="es-CL"/>
        </w:rPr>
        <w:t xml:space="preserve"> </w:t>
      </w:r>
      <w:r>
        <w:rPr>
          <w:lang w:eastAsia="es-CL"/>
        </w:rPr>
        <w:t>de Evaluación</w:t>
      </w:r>
      <w:r w:rsidRPr="00B1576D">
        <w:rPr>
          <w:lang w:eastAsia="es-CL"/>
        </w:rPr>
        <w:t xml:space="preserve"> que estará integrado por: </w:t>
      </w:r>
    </w:p>
    <w:p w14:paraId="22DC3C99" w14:textId="77777777" w:rsidR="0074435F" w:rsidRPr="00B1576D" w:rsidRDefault="0074435F" w:rsidP="008425EE">
      <w:pPr>
        <w:pStyle w:val="xnormal"/>
        <w:numPr>
          <w:ilvl w:val="0"/>
          <w:numId w:val="9"/>
        </w:numPr>
        <w:spacing w:after="0"/>
      </w:pPr>
      <w:r w:rsidRPr="00B1576D">
        <w:t>El Superintendente de Casinos de Juego, quien lo presidirá,</w:t>
      </w:r>
    </w:p>
    <w:p w14:paraId="7FD23F71" w14:textId="7F82F375" w:rsidR="0074435F" w:rsidRPr="00B1576D" w:rsidRDefault="00880AD3" w:rsidP="008425EE">
      <w:pPr>
        <w:pStyle w:val="xnormal"/>
        <w:spacing w:after="0"/>
      </w:pPr>
      <w:r>
        <w:t>Dos jefes de división de la Superintendencia.</w:t>
      </w:r>
    </w:p>
    <w:p w14:paraId="796077E1" w14:textId="172B331F" w:rsidR="0074435F" w:rsidRPr="00B1576D" w:rsidRDefault="00880AD3" w:rsidP="008425EE">
      <w:pPr>
        <w:pStyle w:val="xnormal"/>
        <w:spacing w:after="0"/>
      </w:pPr>
      <w:r>
        <w:t>Tres profesionales de la Superintendencia.</w:t>
      </w:r>
    </w:p>
    <w:p w14:paraId="04E3E096" w14:textId="6F54D9F7" w:rsidR="0074435F" w:rsidRPr="00B1576D" w:rsidRDefault="0074435F" w:rsidP="008425EE">
      <w:pPr>
        <w:pStyle w:val="xnormal"/>
        <w:spacing w:after="0"/>
      </w:pPr>
      <w:r w:rsidRPr="00B1576D">
        <w:t>Un profesional de del Ministerio de Hacienda.</w:t>
      </w:r>
    </w:p>
    <w:p w14:paraId="352B990F" w14:textId="253AD14B" w:rsidR="0074435F" w:rsidRPr="00B1576D" w:rsidRDefault="0074435F" w:rsidP="008425EE">
      <w:pPr>
        <w:pStyle w:val="xnormal"/>
        <w:spacing w:after="0"/>
      </w:pPr>
      <w:r w:rsidRPr="00B1576D">
        <w:t>Un profesional del Ministerio de Economía, Fomento y Turismo.</w:t>
      </w:r>
    </w:p>
    <w:p w14:paraId="649BA1A0" w14:textId="5C7BE7C3" w:rsidR="0074435F" w:rsidRPr="00B1576D" w:rsidRDefault="0074435F" w:rsidP="008425EE">
      <w:pPr>
        <w:pStyle w:val="xnormal"/>
        <w:spacing w:after="0"/>
      </w:pPr>
      <w:r w:rsidRPr="00B1576D">
        <w:t>Un profesional del Ministerio del Interior y Seguridad Pública</w:t>
      </w:r>
    </w:p>
    <w:p w14:paraId="41945469" w14:textId="77777777" w:rsidR="0074435F" w:rsidRDefault="0074435F" w:rsidP="006A7A0E">
      <w:pPr>
        <w:rPr>
          <w:lang w:eastAsia="es-CL"/>
        </w:rPr>
      </w:pPr>
    </w:p>
    <w:p w14:paraId="72771F73" w14:textId="1A6BEC1A" w:rsidR="00D84633" w:rsidRDefault="00D84633" w:rsidP="006A7A0E">
      <w:pPr>
        <w:rPr>
          <w:lang w:eastAsia="es-CL"/>
        </w:rPr>
      </w:pPr>
      <w:r>
        <w:rPr>
          <w:lang w:eastAsia="es-CL"/>
        </w:rPr>
        <w:t>Respecto de los miembros del Comité regirá lo dispuesto en el artículo 12 de la ley N°19.880</w:t>
      </w:r>
      <w:r w:rsidR="00040232">
        <w:rPr>
          <w:lang w:eastAsia="es-CL"/>
        </w:rPr>
        <w:t xml:space="preserve"> sobre procedimientos administrativos</w:t>
      </w:r>
      <w:r>
        <w:rPr>
          <w:lang w:eastAsia="es-CL"/>
        </w:rPr>
        <w:t>.</w:t>
      </w:r>
    </w:p>
    <w:p w14:paraId="51D4C08F" w14:textId="77777777" w:rsidR="00BE76B7" w:rsidRDefault="00BE76B7" w:rsidP="00BE76B7">
      <w:pPr>
        <w:pStyle w:val="NormalWeb"/>
      </w:pPr>
      <w:r>
        <w:t>El Comité desarrollará su función conforme a lo establecido en el art. 37 del Reglamento.</w:t>
      </w:r>
    </w:p>
    <w:p w14:paraId="4A475C32" w14:textId="69EC10A1" w:rsidR="00F82868" w:rsidRDefault="00F82868" w:rsidP="00BE76B7">
      <w:pPr>
        <w:pStyle w:val="NormalWeb"/>
        <w:rPr>
          <w:lang w:val="es-ES"/>
        </w:rPr>
      </w:pPr>
      <w:r>
        <w:rPr>
          <w:lang w:val="es-ES"/>
        </w:rPr>
        <w:t xml:space="preserve">El quórum válido para sesionar de este Comité será de, a lo menos, cinco integrantes, debiendo estar entre ellos el Superintendente. </w:t>
      </w:r>
      <w:r w:rsidR="00BE76B7">
        <w:rPr>
          <w:lang w:val="es-ES"/>
        </w:rPr>
        <w:t>El Comité levantará actas de sus sesiones.</w:t>
      </w:r>
    </w:p>
    <w:p w14:paraId="6DEE1300" w14:textId="77777777" w:rsidR="00BE76B7" w:rsidRDefault="00F82868" w:rsidP="00BE76B7">
      <w:pPr>
        <w:rPr>
          <w:lang w:val="es-ES"/>
        </w:rPr>
      </w:pPr>
      <w:r>
        <w:rPr>
          <w:lang w:val="es-ES"/>
        </w:rPr>
        <w:t>La evaluación que efectúe el Comité respecto de cada propuesta, se recogerá finalmente en un informe de evaluación que será fundado y estará suscrito por todos sus miembros. Dicho informe será de conocimiento público, para cuyo efecto estará disponible en las oficinas de la Superintendencia, pero solo una vez que se haya publicado la resolución de evaluación.</w:t>
      </w:r>
    </w:p>
    <w:p w14:paraId="0E08F481" w14:textId="427A12D0" w:rsidR="0074435F" w:rsidRDefault="0074435F" w:rsidP="00946400">
      <w:pPr>
        <w:pStyle w:val="Ttulo2"/>
      </w:pPr>
      <w:bookmarkStart w:id="73" w:name="_Toc447791994"/>
      <w:bookmarkStart w:id="74" w:name="_Toc448326256"/>
      <w:r>
        <w:t>R</w:t>
      </w:r>
      <w:r w:rsidR="00441199">
        <w:t>e</w:t>
      </w:r>
      <w:r>
        <w:t>visión de la presentación de los Antecedentes</w:t>
      </w:r>
      <w:bookmarkEnd w:id="73"/>
      <w:bookmarkEnd w:id="74"/>
    </w:p>
    <w:p w14:paraId="0898A560" w14:textId="620B9402" w:rsidR="00441199" w:rsidRPr="00B1576D" w:rsidRDefault="0074435F" w:rsidP="006A7A0E">
      <w:pPr>
        <w:pStyle w:val="NormalWeb"/>
        <w:rPr>
          <w:lang w:val="es-ES"/>
        </w:rPr>
      </w:pPr>
      <w:r>
        <w:t>Con posterioridad a la revisión formal del contenido de la carpeta, que se realiza</w:t>
      </w:r>
      <w:r w:rsidR="00040232">
        <w:t>rá</w:t>
      </w:r>
      <w:r>
        <w:t xml:space="preserve"> al momento de la recepción de las ofertas,</w:t>
      </w:r>
      <w:r w:rsidR="00040232">
        <w:t xml:space="preserve"> durante la audiencia de presentación de las ofertas</w:t>
      </w:r>
      <w:r>
        <w:t xml:space="preserve"> el Comité Técnico de Evaluación verificará que el contenido de la Oferta Técnica cumpla con la presentación de los antecedentes que se </w:t>
      </w:r>
      <w:r w:rsidR="00351203">
        <w:t xml:space="preserve">exigen </w:t>
      </w:r>
      <w:r>
        <w:t>en estas Bases, y de acuerdo a la</w:t>
      </w:r>
      <w:r w:rsidR="006C629A">
        <w:t xml:space="preserve"> forma y contenidos definidos en la</w:t>
      </w:r>
      <w:r>
        <w:t xml:space="preserve"> Metodología de Evaluación Técnica anexa.</w:t>
      </w:r>
      <w:r w:rsidR="00441199" w:rsidRPr="00441199">
        <w:rPr>
          <w:lang w:val="es-ES"/>
        </w:rPr>
        <w:t xml:space="preserve"> </w:t>
      </w:r>
      <w:r w:rsidR="00441199" w:rsidRPr="00B1576D">
        <w:rPr>
          <w:lang w:val="es-ES"/>
        </w:rPr>
        <w:t xml:space="preserve">Los referidos antecedentes deberán cumplir con los requisitos señalados </w:t>
      </w:r>
      <w:r w:rsidR="00351203">
        <w:rPr>
          <w:lang w:val="es-ES"/>
        </w:rPr>
        <w:t xml:space="preserve">en las Bases </w:t>
      </w:r>
      <w:r w:rsidR="00441199" w:rsidRPr="00B1576D">
        <w:rPr>
          <w:lang w:val="es-ES"/>
        </w:rPr>
        <w:t>respecto de su vigencia y completitud.</w:t>
      </w:r>
    </w:p>
    <w:p w14:paraId="630D034E" w14:textId="57F696AE" w:rsidR="006C629A" w:rsidRPr="006C629A" w:rsidRDefault="006C629A" w:rsidP="00351203">
      <w:pPr>
        <w:pStyle w:val="NormalWeb"/>
      </w:pPr>
      <w:bookmarkStart w:id="75" w:name="_Toc447791995"/>
      <w:r w:rsidRPr="006C629A">
        <w:t xml:space="preserve">Una vez concluida esta etapa, el </w:t>
      </w:r>
      <w:r w:rsidR="00351203">
        <w:t>C</w:t>
      </w:r>
      <w:r w:rsidRPr="006C629A">
        <w:t xml:space="preserve">omité </w:t>
      </w:r>
      <w:r w:rsidR="00351203">
        <w:t>T</w:t>
      </w:r>
      <w:r w:rsidRPr="006C629A">
        <w:t xml:space="preserve">écnico indicará si la información presentada para cada oferta cumple con lo requerido para dar curso en tiempo y </w:t>
      </w:r>
      <w:r w:rsidRPr="006C629A">
        <w:lastRenderedPageBreak/>
        <w:t>forma a la evaluación o, en su defecto, si fuera aplicable el artículo 21 bis letra d) de la Ley, en cuyo caso no se procedería con las siguientes etapas de evaluación.</w:t>
      </w:r>
    </w:p>
    <w:p w14:paraId="0544A05B" w14:textId="48A34D69" w:rsidR="006C629A" w:rsidRDefault="006C629A" w:rsidP="006C629A">
      <w:pPr>
        <w:pStyle w:val="NormalWeb"/>
      </w:pPr>
      <w:r w:rsidRPr="006C629A">
        <w:t xml:space="preserve">El </w:t>
      </w:r>
      <w:r w:rsidR="00351203">
        <w:t>C</w:t>
      </w:r>
      <w:r w:rsidRPr="006C629A">
        <w:t xml:space="preserve">omité </w:t>
      </w:r>
      <w:r w:rsidR="00351203">
        <w:t>T</w:t>
      </w:r>
      <w:r w:rsidRPr="006C629A">
        <w:t xml:space="preserve">écnico podrá, en el uso de sus facultades definidas en el artículo 23 del Reglamento, solicitar al interesado, complementar o aclarar la información entregada. Lo que en todo caso debe quedar debidamente registrado y fundado, tanto en las actas del comité como en el informe final de evaluación. En ese caso, la información entregada por el oferente con posterioridad a la audiencia de presentación de las ofertas, debe haberse generado –demostradamente- con anterioridad a la fecha de presentación de las ofertas y no será considerada para la asignación de </w:t>
      </w:r>
      <w:r>
        <w:t xml:space="preserve">los </w:t>
      </w:r>
      <w:r w:rsidRPr="006C629A">
        <w:t>puntaje</w:t>
      </w:r>
      <w:r>
        <w:t>s a los que se refiere la evaluación técnica</w:t>
      </w:r>
      <w:r w:rsidRPr="006C629A">
        <w:t>.</w:t>
      </w:r>
    </w:p>
    <w:p w14:paraId="34C86E71" w14:textId="77777777" w:rsidR="00441199" w:rsidRDefault="00441199" w:rsidP="00946400">
      <w:pPr>
        <w:pStyle w:val="Ttulo2"/>
      </w:pPr>
      <w:bookmarkStart w:id="76" w:name="_Toc448326257"/>
      <w:r>
        <w:t>Revisión de las condiciones para continuar con el proceso de Evaluación</w:t>
      </w:r>
      <w:bookmarkEnd w:id="75"/>
      <w:bookmarkEnd w:id="76"/>
    </w:p>
    <w:p w14:paraId="0841C56A" w14:textId="346C44E2" w:rsidR="00C8626A" w:rsidRDefault="00EF4758" w:rsidP="006A7A0E">
      <w:pPr>
        <w:rPr>
          <w:lang w:val="es-ES"/>
        </w:rPr>
      </w:pPr>
      <w:r>
        <w:t xml:space="preserve">Según se indica a continuación en esta sección y de la forma que se detalla en la Metodología de Evaluación Técnica, el Comité Técnico de </w:t>
      </w:r>
      <w:r w:rsidR="00C8626A">
        <w:t>E</w:t>
      </w:r>
      <w:r>
        <w:t>valuaci</w:t>
      </w:r>
      <w:r w:rsidR="00C8626A">
        <w:t xml:space="preserve">ón revisará el cumplimiento de los requisitos establecidos en la Ley de Casinos y en el Reglamento para continuar con la evaluación. </w:t>
      </w:r>
      <w:r w:rsidR="00C8626A" w:rsidRPr="00B1576D">
        <w:rPr>
          <w:lang w:val="es-ES"/>
        </w:rPr>
        <w:t xml:space="preserve">El </w:t>
      </w:r>
      <w:r w:rsidR="00BE76B7">
        <w:rPr>
          <w:lang w:val="es-ES"/>
        </w:rPr>
        <w:t>in</w:t>
      </w:r>
      <w:r w:rsidR="00C8626A" w:rsidRPr="00B1576D">
        <w:rPr>
          <w:lang w:val="es-ES"/>
        </w:rPr>
        <w:t xml:space="preserve">cumplimiento de </w:t>
      </w:r>
      <w:r w:rsidR="00C8626A">
        <w:rPr>
          <w:lang w:val="es-ES"/>
        </w:rPr>
        <w:t xml:space="preserve">alguno de </w:t>
      </w:r>
      <w:r w:rsidR="00C8626A" w:rsidRPr="00B1576D">
        <w:rPr>
          <w:lang w:val="es-ES"/>
        </w:rPr>
        <w:t>estos requisitos implicará que la sociedad postulante no continuará con la etapa de evaluación</w:t>
      </w:r>
      <w:r w:rsidR="00C8626A">
        <w:rPr>
          <w:lang w:val="es-ES"/>
        </w:rPr>
        <w:t xml:space="preserve"> técnica, lo que será oportunamente informado al Consejo Resolutivo.</w:t>
      </w:r>
    </w:p>
    <w:p w14:paraId="5E3F173F" w14:textId="77777777" w:rsidR="00EF4758" w:rsidRDefault="00EF4758" w:rsidP="00946400">
      <w:pPr>
        <w:pStyle w:val="Ttulo3"/>
      </w:pPr>
      <w:bookmarkStart w:id="77" w:name="_Toc447791996"/>
      <w:bookmarkStart w:id="78" w:name="_Toc448326258"/>
      <w:r w:rsidRPr="00EF4758">
        <w:t>Verificación del cumplimiento de los requisitos legales y reglamentarios</w:t>
      </w:r>
      <w:bookmarkEnd w:id="77"/>
      <w:bookmarkEnd w:id="78"/>
    </w:p>
    <w:p w14:paraId="356BBE61" w14:textId="34DBF40B" w:rsidR="00EF4758" w:rsidRPr="00C8626A" w:rsidRDefault="00EF4758" w:rsidP="006A7A0E">
      <w:pPr>
        <w:pStyle w:val="Ttulo4"/>
      </w:pPr>
      <w:r w:rsidRPr="00C8626A">
        <w:t xml:space="preserve">Requisitos de la Sociedad </w:t>
      </w:r>
      <w:r w:rsidR="00B33CEE">
        <w:t>Solicitante</w:t>
      </w:r>
    </w:p>
    <w:p w14:paraId="017357B3" w14:textId="752E0A22" w:rsidR="005B4621" w:rsidRPr="00B1576D" w:rsidRDefault="005B4621" w:rsidP="006A7A0E">
      <w:pPr>
        <w:rPr>
          <w:lang w:val="es-ES"/>
        </w:rPr>
      </w:pPr>
      <w:bookmarkStart w:id="79" w:name="_Toc442467103"/>
      <w:bookmarkEnd w:id="67"/>
      <w:bookmarkEnd w:id="68"/>
      <w:bookmarkEnd w:id="71"/>
      <w:bookmarkEnd w:id="72"/>
      <w:r w:rsidRPr="00B1576D">
        <w:rPr>
          <w:lang w:val="es-ES"/>
        </w:rPr>
        <w:t>De acuerdo a lo dispuesto en el artículo 17 de la Ley de Casinos</w:t>
      </w:r>
      <w:r w:rsidR="00EF4758">
        <w:rPr>
          <w:lang w:val="es-ES"/>
        </w:rPr>
        <w:t xml:space="preserve"> </w:t>
      </w:r>
      <w:r w:rsidR="00EF4758" w:rsidRPr="00EF4758">
        <w:rPr>
          <w:lang w:val="es-ES"/>
        </w:rPr>
        <w:t xml:space="preserve">y en el artículo 9 del </w:t>
      </w:r>
      <w:r w:rsidR="00B33CEE">
        <w:rPr>
          <w:lang w:val="es-ES"/>
        </w:rPr>
        <w:t>Reglamento</w:t>
      </w:r>
      <w:r w:rsidRPr="00B1576D">
        <w:rPr>
          <w:lang w:val="es-ES"/>
        </w:rPr>
        <w:t xml:space="preserve">, podrán optar a permiso de operación para un casino de juego sólo las Sociedades Anónimas Cerradas constituidas en Chile, que se sujeten a las normas de control que rigen a las sociedades anónimas abiertas, según lo dispuesto en la Ley N° 18.046, con las particularidades </w:t>
      </w:r>
      <w:r w:rsidR="00C8626A">
        <w:rPr>
          <w:lang w:val="es-ES"/>
        </w:rPr>
        <w:t>que a continuación se enumeran:</w:t>
      </w:r>
    </w:p>
    <w:p w14:paraId="40F813F1" w14:textId="77777777" w:rsidR="005B4621" w:rsidRPr="00C8626A" w:rsidRDefault="005B4621" w:rsidP="006A7A0E">
      <w:pPr>
        <w:pStyle w:val="xnormal"/>
        <w:numPr>
          <w:ilvl w:val="0"/>
          <w:numId w:val="4"/>
        </w:numPr>
      </w:pPr>
      <w:r w:rsidRPr="00C8626A">
        <w:t>El objeto social será la explotación de un casino de juego, en los términos previstos en la ley y sus reglamentos;</w:t>
      </w:r>
    </w:p>
    <w:p w14:paraId="0821DAF3" w14:textId="77777777" w:rsidR="005B4621" w:rsidRPr="00C8626A" w:rsidRDefault="005B4621" w:rsidP="006A7A0E">
      <w:pPr>
        <w:pStyle w:val="xnormal"/>
        <w:numPr>
          <w:ilvl w:val="0"/>
          <w:numId w:val="4"/>
        </w:numPr>
      </w:pPr>
      <w:r w:rsidRPr="00C8626A">
        <w:t xml:space="preserve">Sólo podrán constituirse y funcionar con un máximo de diez accionistas; que podrán ser personas naturales o jurídicas, y que deberán justificar el origen y suficiencia de los fondos que destinarán a la sociedad en la forma que se establece en el reglamento. </w:t>
      </w:r>
    </w:p>
    <w:p w14:paraId="15D9456A" w14:textId="77777777" w:rsidR="005B4621" w:rsidRPr="00C8626A" w:rsidRDefault="005B4621" w:rsidP="006A7A0E">
      <w:pPr>
        <w:pStyle w:val="xnormal"/>
        <w:numPr>
          <w:ilvl w:val="0"/>
          <w:numId w:val="4"/>
        </w:numPr>
      </w:pPr>
      <w:r w:rsidRPr="00C8626A">
        <w:t xml:space="preserve">El capital social no podrá ser inferior a 10.000 unidades tributarias mensuales, en dinero o en bienes avaluables en dinero, el cual deberá estar suscrito y pagado en un 50%, a lo menos, al momento de la constitución de la sociedad; </w:t>
      </w:r>
    </w:p>
    <w:p w14:paraId="4B48C2A2" w14:textId="77777777" w:rsidR="005B4621" w:rsidRPr="00B1576D" w:rsidRDefault="005B4621" w:rsidP="006A7A0E">
      <w:pPr>
        <w:pStyle w:val="xnormal"/>
        <w:numPr>
          <w:ilvl w:val="0"/>
          <w:numId w:val="4"/>
        </w:numPr>
      </w:pPr>
      <w:r w:rsidRPr="00B1576D">
        <w:t xml:space="preserve">A partir de la presentación de la oferta técnica y económica, las acciones de la sociedad no podrán transferirse sin autorización de la Superintendencia. </w:t>
      </w:r>
    </w:p>
    <w:p w14:paraId="415F937F" w14:textId="77777777" w:rsidR="005B4621" w:rsidRPr="00B1576D" w:rsidRDefault="005B4621" w:rsidP="006A7A0E">
      <w:pPr>
        <w:pStyle w:val="xnormal"/>
        <w:numPr>
          <w:ilvl w:val="0"/>
          <w:numId w:val="4"/>
        </w:numPr>
      </w:pPr>
      <w:r w:rsidRPr="00B1576D">
        <w:t>Los accionistas de la sociedad postulante no podrán constituir gravámenes ni otros derechos reales, distintos del dominio y en conformidad con lo señalado en la ley, respecto de las acciones que posean en  dicha sociedad.</w:t>
      </w:r>
    </w:p>
    <w:p w14:paraId="0AAA5664" w14:textId="77777777" w:rsidR="005B4621" w:rsidRPr="00B1576D" w:rsidRDefault="005B4621" w:rsidP="006A7A0E">
      <w:pPr>
        <w:pStyle w:val="xnormal"/>
        <w:numPr>
          <w:ilvl w:val="0"/>
          <w:numId w:val="4"/>
        </w:numPr>
      </w:pPr>
      <w:r w:rsidRPr="00B1576D">
        <w:lastRenderedPageBreak/>
        <w:t>La vigencia de la sociedad no podrá ser inferior al tiempo por el cual se otorga el permiso de operación o su renovación, y</w:t>
      </w:r>
    </w:p>
    <w:p w14:paraId="43C0F958" w14:textId="77777777" w:rsidR="005B4621" w:rsidRDefault="005B4621" w:rsidP="006A7A0E">
      <w:pPr>
        <w:pStyle w:val="xnormal"/>
        <w:numPr>
          <w:ilvl w:val="0"/>
          <w:numId w:val="4"/>
        </w:numPr>
      </w:pPr>
      <w:r w:rsidRPr="00B1576D">
        <w:t>El domicilio de la sociedad deberá corresponder al lugar en que se explotará el casino de juego cuya autorización de operación se solicita.</w:t>
      </w:r>
    </w:p>
    <w:p w14:paraId="2A4EF2E3" w14:textId="77777777" w:rsidR="00B33DDD" w:rsidRDefault="00B33DDD" w:rsidP="00BE76B7">
      <w:r w:rsidRPr="00B33DDD">
        <w:t>Adicionalmente, conforme al artículo 21 bis de la Ley de Casino</w:t>
      </w:r>
      <w:r>
        <w:t xml:space="preserve">s </w:t>
      </w:r>
      <w:r w:rsidRPr="00B33DDD">
        <w:t>y el artículo 25 del Reglamento respectivo la sociedad solicitante o sus accionistas, incluidas las personas jurídicas y personas naturales, que integran directa o indirectamente la estructura societaria de la sociedad postulante que poseen el 5% o más de su propiedad consolidada o que ostenten la calidad de controlador de la postulante, en los términos establecidos en el artículo 97 de la Ley Nº 18.045, incluidos en ambos casos, los inversionistas institucionales en conformidad a lo establecido en el artículo 4 bis letra e) del referido cuerpo legal, no deberá encontrarse en alguna de las circunstancias allí señaladas</w:t>
      </w:r>
    </w:p>
    <w:p w14:paraId="6DC4ECB6" w14:textId="36B9E3F9" w:rsidR="00BE76B7" w:rsidRDefault="00B33DDD" w:rsidP="00BE76B7">
      <w:r>
        <w:t xml:space="preserve">Se hace presente además que </w:t>
      </w:r>
      <w:r w:rsidR="002B4A86">
        <w:t xml:space="preserve">el artículo 21 bis de la Ley </w:t>
      </w:r>
      <w:r>
        <w:t xml:space="preserve">de Casinos </w:t>
      </w:r>
      <w:r w:rsidR="002B4A86">
        <w:t>y el artículo 25 del Reglamento respectivo</w:t>
      </w:r>
      <w:r>
        <w:t xml:space="preserve">, establecen </w:t>
      </w:r>
      <w:r w:rsidR="00BE76B7">
        <w:t>las siguientes causales adicionales</w:t>
      </w:r>
      <w:r w:rsidR="002B4A86">
        <w:t xml:space="preserve"> para no continuar con la evaluación:</w:t>
      </w:r>
    </w:p>
    <w:p w14:paraId="40EE0CC7" w14:textId="77777777" w:rsidR="002B4A86" w:rsidRDefault="00424298" w:rsidP="006A7A0E">
      <w:pPr>
        <w:pStyle w:val="xnormal"/>
        <w:numPr>
          <w:ilvl w:val="0"/>
          <w:numId w:val="4"/>
        </w:numPr>
      </w:pPr>
      <w:r>
        <w:t>E</w:t>
      </w:r>
      <w:r w:rsidR="002B4A86" w:rsidRPr="002B4A86">
        <w:t>ncontrarse en estado de insolvencia, esto es la imposibilidad de cumplir con el pago de las obligaciones contraídas.</w:t>
      </w:r>
    </w:p>
    <w:p w14:paraId="076D0FDA" w14:textId="77777777" w:rsidR="002B4A86" w:rsidRDefault="00424298" w:rsidP="006A7A0E">
      <w:pPr>
        <w:pStyle w:val="xnormal"/>
        <w:numPr>
          <w:ilvl w:val="0"/>
          <w:numId w:val="4"/>
        </w:numPr>
      </w:pPr>
      <w:r>
        <w:t>H</w:t>
      </w:r>
      <w:r w:rsidR="002B4A86" w:rsidRPr="002B4A86">
        <w:t>aber sido sancionada administrativamente, mediante resolución firme, por tres o más infracciones graves en los últimos cinco años por incumplimiento de las normas que regulan la actividad de los casinos, ya sea en Chile o en un país extranjero.</w:t>
      </w:r>
    </w:p>
    <w:p w14:paraId="7E05E4B3" w14:textId="77777777" w:rsidR="00424298" w:rsidRDefault="00424298" w:rsidP="006A7A0E">
      <w:pPr>
        <w:pStyle w:val="xnormal"/>
        <w:numPr>
          <w:ilvl w:val="0"/>
          <w:numId w:val="4"/>
        </w:numPr>
      </w:pPr>
      <w:r>
        <w:t>H</w:t>
      </w:r>
      <w:r w:rsidRPr="00424298">
        <w:t>aber sido sancionada por alguno de los delitos contemplados en la Ley N°20.393, relativa a responsabilidad penal de las personas jurídicas por lavado de activos, financiamiento del terrorismo o cohecho, ya sea en Chile o en un país extranjero.</w:t>
      </w:r>
    </w:p>
    <w:p w14:paraId="4323A44F" w14:textId="77777777" w:rsidR="005B4621" w:rsidRPr="00914FA9" w:rsidRDefault="00A35BD3" w:rsidP="00EC78BC">
      <w:pPr>
        <w:pStyle w:val="Ttulo4"/>
        <w:ind w:left="360"/>
      </w:pPr>
      <w:r>
        <w:t>Requisitos de los Accionistas</w:t>
      </w:r>
      <w:r w:rsidR="00E133AC">
        <w:t>, controladores</w:t>
      </w:r>
      <w:r>
        <w:t xml:space="preserve"> y Directores de la Sociedad Operadora</w:t>
      </w:r>
    </w:p>
    <w:p w14:paraId="49633926" w14:textId="1CE4C6F8" w:rsidR="00E133AC" w:rsidRDefault="00E133AC" w:rsidP="00BE76B7">
      <w:r>
        <w:t xml:space="preserve">De acuerdo al artículo 18 de la Ley </w:t>
      </w:r>
      <w:r w:rsidR="00B33CEE">
        <w:t xml:space="preserve">de </w:t>
      </w:r>
      <w:r w:rsidR="00B33DDD">
        <w:t>C</w:t>
      </w:r>
      <w:r w:rsidR="00B33CEE">
        <w:t>asinos</w:t>
      </w:r>
      <w:r>
        <w:t>, los accionistas, controladores y directores de la sociedad postulante deben cumplir con los siguientes requisitos:</w:t>
      </w:r>
    </w:p>
    <w:p w14:paraId="7E944775" w14:textId="77777777" w:rsidR="00A35BD3" w:rsidRPr="00CA6988" w:rsidRDefault="00A35BD3" w:rsidP="00CD1801">
      <w:pPr>
        <w:pStyle w:val="xnormal"/>
        <w:numPr>
          <w:ilvl w:val="0"/>
          <w:numId w:val="10"/>
        </w:numPr>
      </w:pPr>
      <w:r w:rsidRPr="00C8626A">
        <w:t>Tratándose de accionistas personas naturales, éstas además, no deben haber sido condenadas por delito que merezca pena aflictiva;</w:t>
      </w:r>
    </w:p>
    <w:p w14:paraId="19865FD9" w14:textId="77777777" w:rsidR="005B4621" w:rsidRDefault="005B4621" w:rsidP="00CD1801">
      <w:pPr>
        <w:pStyle w:val="xnormal"/>
        <w:numPr>
          <w:ilvl w:val="0"/>
          <w:numId w:val="10"/>
        </w:numPr>
      </w:pPr>
      <w:r w:rsidRPr="00CA6988">
        <w:t>No deben estar comprendidos dentro de las inhabilidades contempladas en la ley N° 18.046.</w:t>
      </w:r>
    </w:p>
    <w:p w14:paraId="5317C38D" w14:textId="77777777" w:rsidR="002B4A86" w:rsidRDefault="002B4A86" w:rsidP="00BE76B7">
      <w:r>
        <w:t>Del mismo modo, en el artículo 21 bis de la Ley 19.995 y el artículo 25 del Reglamento respectivo se identifican causales adicionales para no continuar con la evaluación</w:t>
      </w:r>
      <w:r w:rsidR="00424298">
        <w:t xml:space="preserve">, considerando para estos efectos a todos </w:t>
      </w:r>
      <w:r w:rsidR="00424298" w:rsidRPr="00B1576D">
        <w:rPr>
          <w:snapToGrid w:val="0"/>
        </w:rPr>
        <w:t>sus accionistas, incluidas las personas jurídicas y personas naturales, que integran, directa o indirectamente, la estructura societaria de la postulante que poseen el 5% o más de su propiedad consolidada o que ostenten la calidad de controlador de la postulante, en los términos establecidos para ello en el artículo 97 de la Ley N° 18.045, incluidos en ambos casos, los inversionistas institucionales en conformidad a lo establecido en el artículo 4 bis letra e) del referido cuerpo legal</w:t>
      </w:r>
      <w:r w:rsidR="00424298">
        <w:rPr>
          <w:snapToGrid w:val="0"/>
        </w:rPr>
        <w:t xml:space="preserve">, que </w:t>
      </w:r>
      <w:r w:rsidR="00424298" w:rsidRPr="00B1576D">
        <w:rPr>
          <w:snapToGrid w:val="0"/>
        </w:rPr>
        <w:t>se encuentren en alguna de las siguientes circunstancias</w:t>
      </w:r>
      <w:r>
        <w:t>:</w:t>
      </w:r>
    </w:p>
    <w:p w14:paraId="51B5C925" w14:textId="77777777" w:rsidR="002B4A86" w:rsidRDefault="00424298" w:rsidP="00CD1801">
      <w:pPr>
        <w:pStyle w:val="xnormal"/>
        <w:numPr>
          <w:ilvl w:val="0"/>
          <w:numId w:val="10"/>
        </w:numPr>
      </w:pPr>
      <w:r>
        <w:t>E</w:t>
      </w:r>
      <w:r w:rsidR="002B4A86" w:rsidRPr="002B4A86">
        <w:t>ncontrarse en estado de insolvencia, esto es la imposibilidad de cumplir con el pago de las obligaciones contraídas.</w:t>
      </w:r>
      <w:bookmarkStart w:id="80" w:name="_GoBack"/>
      <w:bookmarkEnd w:id="80"/>
    </w:p>
    <w:p w14:paraId="45F270E0" w14:textId="77777777" w:rsidR="002B4A86" w:rsidRDefault="00424298" w:rsidP="00CD1801">
      <w:pPr>
        <w:pStyle w:val="xnormal"/>
        <w:numPr>
          <w:ilvl w:val="0"/>
          <w:numId w:val="10"/>
        </w:numPr>
      </w:pPr>
      <w:r>
        <w:lastRenderedPageBreak/>
        <w:t>H</w:t>
      </w:r>
      <w:r w:rsidR="002B4A86" w:rsidRPr="002B4A86">
        <w:t>aber sido, en los últimos quince años, director, gerente o accionista en una sociedad operadora a la cual se haya revocado su permiso de operación</w:t>
      </w:r>
      <w:r w:rsidR="002B4A86">
        <w:t>.</w:t>
      </w:r>
    </w:p>
    <w:p w14:paraId="00E11274" w14:textId="77777777" w:rsidR="002B4A86" w:rsidRDefault="00424298" w:rsidP="00CD1801">
      <w:pPr>
        <w:pStyle w:val="xnormal"/>
        <w:numPr>
          <w:ilvl w:val="0"/>
          <w:numId w:val="10"/>
        </w:numPr>
      </w:pPr>
      <w:r>
        <w:t>S</w:t>
      </w:r>
      <w:r w:rsidR="002B4A86" w:rsidRPr="002B4A86">
        <w:t>er socios o administradores de empresas o sociedades que mantengan deudas impagas con el Fisco, cuyo plazo para el pago se encuentre vencido.</w:t>
      </w:r>
    </w:p>
    <w:p w14:paraId="558D8DC8" w14:textId="465F11B6" w:rsidR="002B4A86" w:rsidRPr="00EC78BC" w:rsidRDefault="00424298" w:rsidP="00CD1801">
      <w:pPr>
        <w:pStyle w:val="Prrafodelista"/>
        <w:numPr>
          <w:ilvl w:val="0"/>
          <w:numId w:val="10"/>
        </w:numPr>
        <w:rPr>
          <w:rFonts w:ascii="Arial" w:hAnsi="Arial"/>
        </w:rPr>
      </w:pPr>
      <w:r w:rsidRPr="00EC78BC">
        <w:rPr>
          <w:rFonts w:ascii="Arial" w:hAnsi="Arial"/>
        </w:rPr>
        <w:t>Haber sido</w:t>
      </w:r>
      <w:r w:rsidR="002B4A86" w:rsidRPr="00EC78BC">
        <w:rPr>
          <w:rFonts w:ascii="Arial" w:hAnsi="Arial"/>
        </w:rPr>
        <w:t xml:space="preserve"> socios o administradores de Casinos de Juego que hayan </w:t>
      </w:r>
      <w:r w:rsidR="00B33CEE">
        <w:rPr>
          <w:rFonts w:ascii="Arial" w:hAnsi="Arial"/>
        </w:rPr>
        <w:t xml:space="preserve">sido </w:t>
      </w:r>
      <w:r w:rsidR="002B4A86" w:rsidRPr="00EC78BC">
        <w:rPr>
          <w:rFonts w:ascii="Arial" w:hAnsi="Arial"/>
        </w:rPr>
        <w:t>sancionados administrativamente, mediante resolución firme, por tres o más infracciones graves en los últimos cinco años por incumplimiento de las normas que regulan la actividad de los casinos, ya sea en Chile o en un país extranjero.</w:t>
      </w:r>
    </w:p>
    <w:p w14:paraId="328520DA" w14:textId="77777777" w:rsidR="002B4A86" w:rsidRDefault="00424298" w:rsidP="00CD1801">
      <w:pPr>
        <w:pStyle w:val="xnormal"/>
        <w:numPr>
          <w:ilvl w:val="0"/>
          <w:numId w:val="10"/>
        </w:numPr>
      </w:pPr>
      <w:r>
        <w:t>H</w:t>
      </w:r>
      <w:r w:rsidRPr="00424298">
        <w:t>aber sido sancionados por alguno de los delitos contemplados en la Ley N°20.393, relativa a responsabilidad penal de las personas jurídicas por lavado de activos, financiamiento del terrorismo o cohecho, ya sea en Chile o en un país extranjero. Además, los accionistas y controladores personas naturales que participan en la cadena de propiedad de la sociedad postulante no deben haber sido sancionados por alguno de los delitos contemplados en los artículos 27 o 28 de la Ley N°19.913 (lavado o blanqueo de activos), en la Ley N°18.314 (conductas terroristas o fija su penalidad) o en los artículos 250 y 251 bis del Código Penal (delito de cohecho), ya sea en Chile o en el extranjero.</w:t>
      </w:r>
    </w:p>
    <w:p w14:paraId="384A1F6A" w14:textId="77777777" w:rsidR="00424298" w:rsidRDefault="00424298" w:rsidP="00CD1801">
      <w:pPr>
        <w:pStyle w:val="xnormal"/>
        <w:numPr>
          <w:ilvl w:val="0"/>
          <w:numId w:val="10"/>
        </w:numPr>
      </w:pPr>
      <w:r>
        <w:t>H</w:t>
      </w:r>
      <w:r w:rsidRPr="00424298">
        <w:t>aber sido sancionados por alguno de los delitos contemplados en la Ley N°20.393, relativa a responsabilidad penal de las personas jurídicas por lavado de activos, financiamiento del terrorismo o cohecho, ya sea en Chile o en un país extranjero. Además, los accionistas personas naturales de dichas empresas no deben haber sido sancionados por alguno de los delitos contemplados en los artículos 27 o 28 de la Ley N°19.913 (lavado o blanqueo de activos), en la Ley N°18.314 (conductas terroristas o fija su penalidad) o en los artículos 250 y 251 bis del Código Penal (delito de cohecho), ya sea en Chile o en el extranjero.</w:t>
      </w:r>
    </w:p>
    <w:p w14:paraId="0EA405A5" w14:textId="77777777" w:rsidR="00424298" w:rsidRPr="00914FA9" w:rsidRDefault="00424298" w:rsidP="00EC78BC">
      <w:pPr>
        <w:pStyle w:val="Ttulo4"/>
        <w:ind w:left="360"/>
      </w:pPr>
      <w:r>
        <w:t>Requisitos Oferta Presentada</w:t>
      </w:r>
    </w:p>
    <w:p w14:paraId="45794024" w14:textId="77777777" w:rsidR="00421105" w:rsidRDefault="00424298" w:rsidP="00EC78BC">
      <w:pPr>
        <w:pStyle w:val="xnormal"/>
        <w:numPr>
          <w:ilvl w:val="0"/>
          <w:numId w:val="0"/>
        </w:numPr>
        <w:ind w:left="1080" w:hanging="360"/>
      </w:pPr>
      <w:r>
        <w:t>Finalmente, el artículo 21 bis de la Ley 19.995 y el artículo 25 del Reglamento respectivo</w:t>
      </w:r>
      <w:r w:rsidRPr="002B4A86">
        <w:t xml:space="preserve"> </w:t>
      </w:r>
      <w:r w:rsidR="00421105">
        <w:t>indican, respecto de la oferta presentada:</w:t>
      </w:r>
    </w:p>
    <w:p w14:paraId="579E7D91" w14:textId="77777777" w:rsidR="002B4A86" w:rsidRDefault="002B4A86" w:rsidP="00CD1801">
      <w:pPr>
        <w:pStyle w:val="xnormal"/>
        <w:numPr>
          <w:ilvl w:val="0"/>
          <w:numId w:val="11"/>
        </w:numPr>
      </w:pPr>
      <w:r w:rsidRPr="002B4A86">
        <w:t>La sociedad solicitante, así como los accionistas y controladores que participan de la cadena de propiedad de la sociedad postulante no deben haber aportado a la Superintendencia información falsa, incompleta, inconsistente, adulterada o manifiestamente errónea respecto de sus antecedentes.</w:t>
      </w:r>
    </w:p>
    <w:p w14:paraId="7644115E" w14:textId="77777777" w:rsidR="002B4A86" w:rsidRDefault="002B4A86" w:rsidP="00CD1801">
      <w:pPr>
        <w:pStyle w:val="xnormal"/>
        <w:numPr>
          <w:ilvl w:val="0"/>
          <w:numId w:val="11"/>
        </w:numPr>
      </w:pPr>
      <w:r w:rsidRPr="00421105">
        <w:t>La sociedad solicitante, así como los accionistas y controladores que participan de la cadena de propiedad de la sociedad postulante deben haber acompañado los antecedentes requeridos por la Superintendencia para llevar a cabo la evaluación en tiempo y forma.</w:t>
      </w:r>
    </w:p>
    <w:p w14:paraId="515E34C8" w14:textId="2597474D" w:rsidR="00CC4CE8" w:rsidRPr="00B1576D" w:rsidRDefault="00421105" w:rsidP="00946400">
      <w:pPr>
        <w:pStyle w:val="Ttulo3"/>
      </w:pPr>
      <w:bookmarkStart w:id="81" w:name="_Toc447791997"/>
      <w:bookmarkStart w:id="82" w:name="_Toc448326259"/>
      <w:bookmarkEnd w:id="79"/>
      <w:r>
        <w:t>Cumplimiento de las Condiciones Especiales</w:t>
      </w:r>
      <w:bookmarkEnd w:id="81"/>
      <w:r w:rsidR="00B33CEE">
        <w:t>.</w:t>
      </w:r>
      <w:bookmarkEnd w:id="82"/>
    </w:p>
    <w:p w14:paraId="261BBE24" w14:textId="6F831F92" w:rsidR="00421105" w:rsidRDefault="00421105" w:rsidP="006A7A0E">
      <w:r>
        <w:t xml:space="preserve">De acuerdo al </w:t>
      </w:r>
      <w:r w:rsidRPr="00421105">
        <w:t xml:space="preserve">Artículo 3° transitorio de la Ley </w:t>
      </w:r>
      <w:r w:rsidR="00B33CEE">
        <w:t xml:space="preserve">de </w:t>
      </w:r>
      <w:r w:rsidR="00B33DDD">
        <w:t>C</w:t>
      </w:r>
      <w:r w:rsidR="00B33CEE">
        <w:t>asinos</w:t>
      </w:r>
      <w:r w:rsidRPr="00421105">
        <w:t xml:space="preserve"> y </w:t>
      </w:r>
      <w:r w:rsidR="0004685A">
        <w:t>a</w:t>
      </w:r>
      <w:r w:rsidR="00B33CEE">
        <w:t xml:space="preserve">l </w:t>
      </w:r>
      <w:r w:rsidRPr="00421105">
        <w:t xml:space="preserve">artículo primero transitorio del </w:t>
      </w:r>
      <w:r w:rsidR="00B33CEE">
        <w:t>Reglamento</w:t>
      </w:r>
      <w:r>
        <w:t xml:space="preserve"> las ofertas deben considerar lo establecido en las condiciones espaciales</w:t>
      </w:r>
      <w:r w:rsidR="00CA047A">
        <w:t xml:space="preserve"> a que se refiere la</w:t>
      </w:r>
      <w:r w:rsidR="00CA047A" w:rsidRPr="00CA047A">
        <w:t xml:space="preserve"> secci</w:t>
      </w:r>
      <w:r w:rsidR="00CA047A">
        <w:t>ón</w:t>
      </w:r>
      <w:r w:rsidR="00CA047A" w:rsidRPr="00CA047A">
        <w:t xml:space="preserve"> 1.</w:t>
      </w:r>
      <w:r w:rsidR="00CA047A">
        <w:t>2</w:t>
      </w:r>
      <w:r w:rsidR="00CA047A" w:rsidRPr="00CA047A">
        <w:t xml:space="preserve"> de estas Bases</w:t>
      </w:r>
      <w:r>
        <w:t>.</w:t>
      </w:r>
    </w:p>
    <w:p w14:paraId="115A2A9F" w14:textId="16DA8D36" w:rsidR="00CC4CE8" w:rsidRPr="00B1576D" w:rsidRDefault="0004685A" w:rsidP="006A7A0E">
      <w:r>
        <w:lastRenderedPageBreak/>
        <w:t xml:space="preserve">La oferta de la sociedad postulante que </w:t>
      </w:r>
      <w:r w:rsidR="00CC4CE8" w:rsidRPr="00B1576D">
        <w:t>no cumpl</w:t>
      </w:r>
      <w:r>
        <w:t>a</w:t>
      </w:r>
      <w:r w:rsidR="00CC4CE8" w:rsidRPr="00B1576D">
        <w:t xml:space="preserve"> con alguna de las referidas condiciones especiales</w:t>
      </w:r>
      <w:r>
        <w:t>,</w:t>
      </w:r>
      <w:r w:rsidR="00421105">
        <w:t xml:space="preserve"> </w:t>
      </w:r>
      <w:r>
        <w:t xml:space="preserve">producirá el efecto de no </w:t>
      </w:r>
      <w:r w:rsidR="00B33DDD">
        <w:t xml:space="preserve">poder ser objeto de </w:t>
      </w:r>
      <w:r>
        <w:t xml:space="preserve"> evaluación</w:t>
      </w:r>
      <w:r w:rsidR="00CC4CE8" w:rsidRPr="00B1576D">
        <w:t xml:space="preserve">, poniéndose término a la misma. </w:t>
      </w:r>
    </w:p>
    <w:p w14:paraId="4B21CA70" w14:textId="77777777" w:rsidR="005D6BAD" w:rsidRDefault="005D6BAD" w:rsidP="00946400">
      <w:pPr>
        <w:pStyle w:val="Ttulo2"/>
      </w:pPr>
      <w:bookmarkStart w:id="83" w:name="_Toc447791998"/>
      <w:bookmarkStart w:id="84" w:name="_Toc448326260"/>
      <w:bookmarkStart w:id="85" w:name="_Toc442467101"/>
      <w:bookmarkStart w:id="86" w:name="_Toc444101150"/>
      <w:r>
        <w:t>Evaluación del Origen y Suficiencia de los Fondos</w:t>
      </w:r>
      <w:bookmarkEnd w:id="83"/>
      <w:bookmarkEnd w:id="84"/>
    </w:p>
    <w:p w14:paraId="6A5FF8C3" w14:textId="5967FD59" w:rsidR="005D6BAD" w:rsidRDefault="005D6BAD" w:rsidP="006A7A0E">
      <w:r>
        <w:t>En conformidad con</w:t>
      </w:r>
      <w:r w:rsidRPr="00B1576D">
        <w:t xml:space="preserve"> lo dispuesto en el artículo 18 de la Ley de Casinos</w:t>
      </w:r>
      <w:r>
        <w:t xml:space="preserve"> y de la forma que se detalla en la Metodología de Evaluación Técnica anexa</w:t>
      </w:r>
      <w:r w:rsidRPr="00B1576D">
        <w:t>, los accionistas y directores de la sociedad postulante</w:t>
      </w:r>
      <w:r>
        <w:t>, sean estos personas naturales o jurídicas,</w:t>
      </w:r>
      <w:r w:rsidRPr="00B1576D">
        <w:t xml:space="preserve"> deberán</w:t>
      </w:r>
      <w:r>
        <w:t xml:space="preserve"> justificar adecuada y suficientemente el origen de los fondos que destinarán a financiar la propuesta ofertada.</w:t>
      </w:r>
    </w:p>
    <w:p w14:paraId="7ED73504" w14:textId="6CFB73A2" w:rsidR="005D6BAD" w:rsidRDefault="005D6BAD" w:rsidP="006A7A0E">
      <w:r>
        <w:t xml:space="preserve">En el caso que el Comité Técnico de Evaluación considere </w:t>
      </w:r>
      <w:r w:rsidR="0004685A">
        <w:t>respecto de los fondos</w:t>
      </w:r>
      <w:r>
        <w:t xml:space="preserve"> </w:t>
      </w:r>
      <w:r w:rsidR="0004685A">
        <w:t xml:space="preserve">destinados a financiar la oferta presentada, que </w:t>
      </w:r>
      <w:r>
        <w:t xml:space="preserve">no se ha justificado adecuadamente </w:t>
      </w:r>
      <w:r w:rsidR="0004685A">
        <w:t xml:space="preserve">su </w:t>
      </w:r>
      <w:r>
        <w:t>origen</w:t>
      </w:r>
      <w:r w:rsidR="0004685A">
        <w:t xml:space="preserve"> así como la suficiencia de los mismos,</w:t>
      </w:r>
      <w:r>
        <w:t xml:space="preserve">, el Superintendente podrá, según el artículo 19 de la Ley </w:t>
      </w:r>
      <w:r w:rsidR="0004685A">
        <w:t>de casinos</w:t>
      </w:r>
      <w:r>
        <w:t>, no dar curso a la evaluación técnica a que se refiere la siguiente sección.</w:t>
      </w:r>
    </w:p>
    <w:p w14:paraId="2119D50A" w14:textId="60992EA7" w:rsidR="00E57C93" w:rsidRDefault="005D6BAD" w:rsidP="00946400">
      <w:pPr>
        <w:pStyle w:val="Ttulo2"/>
      </w:pPr>
      <w:bookmarkStart w:id="87" w:name="_Toc447791999"/>
      <w:bookmarkStart w:id="88" w:name="_Toc448326261"/>
      <w:bookmarkEnd w:id="85"/>
      <w:bookmarkEnd w:id="86"/>
      <w:r>
        <w:t xml:space="preserve">Evaluación </w:t>
      </w:r>
      <w:r w:rsidR="0004685A">
        <w:t xml:space="preserve">DE LAS OFERTAS </w:t>
      </w:r>
      <w:r>
        <w:t>Técnica</w:t>
      </w:r>
      <w:bookmarkEnd w:id="87"/>
      <w:r w:rsidR="0004685A">
        <w:t>S</w:t>
      </w:r>
      <w:bookmarkEnd w:id="88"/>
    </w:p>
    <w:p w14:paraId="770E9A66" w14:textId="1A2C23C2" w:rsidR="00421105" w:rsidRDefault="0004685A" w:rsidP="006A7A0E">
      <w:r>
        <w:t>Las</w:t>
      </w:r>
      <w:r w:rsidR="00421105">
        <w:t xml:space="preserve"> </w:t>
      </w:r>
      <w:r>
        <w:t>o</w:t>
      </w:r>
      <w:r w:rsidR="00421105">
        <w:t xml:space="preserve">fertas que no hayan </w:t>
      </w:r>
      <w:r>
        <w:t xml:space="preserve">incurrido en </w:t>
      </w:r>
      <w:r w:rsidR="00421105">
        <w:t xml:space="preserve">causales para dar por terminada </w:t>
      </w:r>
      <w:r>
        <w:t xml:space="preserve">su </w:t>
      </w:r>
      <w:r w:rsidR="00421105">
        <w:t>evaluación, se</w:t>
      </w:r>
      <w:r>
        <w:t>rán</w:t>
      </w:r>
      <w:r w:rsidR="00421105">
        <w:t xml:space="preserve"> </w:t>
      </w:r>
      <w:r>
        <w:t xml:space="preserve">evaluadas conforme a los </w:t>
      </w:r>
      <w:r w:rsidR="00421105">
        <w:t>factores, subfactores, criterio</w:t>
      </w:r>
      <w:r>
        <w:t>s</w:t>
      </w:r>
      <w:r w:rsidR="00421105">
        <w:t xml:space="preserve"> e indicadores que dan como resultado el puntaje ponderado de cada una de las ofertas. El detalle de la metodología de asignación de puntajes, el rango y la escala se encuentran en la Metodología de Evaluación anexa.</w:t>
      </w:r>
    </w:p>
    <w:p w14:paraId="2A6483D9" w14:textId="77777777" w:rsidR="00B22F3A" w:rsidRDefault="00421105" w:rsidP="00EC78BC">
      <w:r>
        <w:t>En todo cas</w:t>
      </w:r>
      <w:r w:rsidR="0004685A">
        <w:t>o se evaluará cada propuesta considerando al efecto la ponderación que para cada uno de los criterios y factores que se establecen a continuación:</w:t>
      </w:r>
    </w:p>
    <w:p w14:paraId="6E54DA64" w14:textId="77777777" w:rsidR="00B22F3A" w:rsidRDefault="00B22F3A" w:rsidP="00EC78BC"/>
    <w:p w14:paraId="4F9E41D3" w14:textId="6D22E269" w:rsidR="00FC3F34" w:rsidRPr="00421105" w:rsidRDefault="0004685A" w:rsidP="00CA047A">
      <w:pPr>
        <w:pStyle w:val="nNormal"/>
        <w:numPr>
          <w:ilvl w:val="0"/>
          <w:numId w:val="22"/>
        </w:numPr>
        <w:spacing w:after="0"/>
      </w:pPr>
      <w:r w:rsidDel="0004685A">
        <w:t xml:space="preserve"> </w:t>
      </w:r>
      <w:r w:rsidR="00FC3F34" w:rsidRPr="00421105">
        <w:t xml:space="preserve">Informe emitido por la Intendencia Regional: Hasta 100 puntos, evaluados de la siguiente forma: </w:t>
      </w:r>
    </w:p>
    <w:p w14:paraId="055010ED" w14:textId="77777777" w:rsidR="00272B93" w:rsidRPr="00421105" w:rsidRDefault="00FC3F34" w:rsidP="00CA047A">
      <w:pPr>
        <w:pStyle w:val="nNormal"/>
        <w:numPr>
          <w:ilvl w:val="1"/>
          <w:numId w:val="6"/>
        </w:numPr>
        <w:spacing w:after="0"/>
      </w:pPr>
      <w:r w:rsidRPr="00421105">
        <w:t xml:space="preserve">Respecto del mérito de la comuna de emplazamiento propuesta por la sociedad postulante para la instalación del casino de juego: 0 </w:t>
      </w:r>
      <w:r w:rsidR="0069252B" w:rsidRPr="00421105">
        <w:t>ó</w:t>
      </w:r>
      <w:r w:rsidRPr="00421105">
        <w:t xml:space="preserve"> 60 puntos; y</w:t>
      </w:r>
    </w:p>
    <w:p w14:paraId="6BA5FC55" w14:textId="77777777" w:rsidR="00FC3F34" w:rsidRPr="00421105" w:rsidRDefault="00FC3F34" w:rsidP="00CA047A">
      <w:pPr>
        <w:pStyle w:val="nNormal"/>
        <w:numPr>
          <w:ilvl w:val="1"/>
          <w:numId w:val="6"/>
        </w:numPr>
        <w:spacing w:after="0"/>
      </w:pPr>
      <w:r w:rsidRPr="00421105">
        <w:t xml:space="preserve">Respecto del impacto del proyecto en la estrategia de desarrollo regional: 0 </w:t>
      </w:r>
      <w:r w:rsidR="0069252B" w:rsidRPr="00421105">
        <w:t>ó</w:t>
      </w:r>
      <w:r w:rsidRPr="00421105">
        <w:t xml:space="preserve"> 40 puntos; </w:t>
      </w:r>
    </w:p>
    <w:p w14:paraId="59CE3779" w14:textId="77777777" w:rsidR="00FC3F34" w:rsidRPr="00DE5A38" w:rsidRDefault="00FC3F34" w:rsidP="00CA047A">
      <w:pPr>
        <w:pStyle w:val="nNormal"/>
        <w:spacing w:after="0"/>
      </w:pPr>
      <w:r w:rsidRPr="00DE5A38">
        <w:t xml:space="preserve">El informe emitido por la </w:t>
      </w:r>
      <w:r w:rsidR="008D6FD9" w:rsidRPr="00DE5A38">
        <w:t>M</w:t>
      </w:r>
      <w:r w:rsidRPr="00DE5A38">
        <w:t>unicipalidad respectiva: hasta 100 puntos:</w:t>
      </w:r>
    </w:p>
    <w:p w14:paraId="5732FAB1" w14:textId="77777777" w:rsidR="00FC3F34" w:rsidRPr="00DE5A38" w:rsidRDefault="00FC3F34" w:rsidP="00CA047A">
      <w:pPr>
        <w:pStyle w:val="nNormal"/>
        <w:numPr>
          <w:ilvl w:val="1"/>
          <w:numId w:val="6"/>
        </w:numPr>
        <w:spacing w:after="0"/>
      </w:pPr>
      <w:r w:rsidRPr="00DE5A38">
        <w:t>Respecto del impacto</w:t>
      </w:r>
      <w:r w:rsidR="00ED49B2" w:rsidRPr="00DE5A38">
        <w:t xml:space="preserve"> del proyecto en la comuna</w:t>
      </w:r>
      <w:r w:rsidRPr="00DE5A38">
        <w:t xml:space="preserve">: 0 </w:t>
      </w:r>
      <w:r w:rsidR="0069252B" w:rsidRPr="00DE5A38">
        <w:t>ó</w:t>
      </w:r>
      <w:r w:rsidRPr="00DE5A38">
        <w:t xml:space="preserve"> 50 puntos; y</w:t>
      </w:r>
    </w:p>
    <w:p w14:paraId="59C83B0E" w14:textId="77777777" w:rsidR="00FC3F34" w:rsidRPr="00DE5A38" w:rsidRDefault="00FC3F34" w:rsidP="00CA047A">
      <w:pPr>
        <w:pStyle w:val="nNormal"/>
        <w:numPr>
          <w:ilvl w:val="1"/>
          <w:numId w:val="6"/>
        </w:numPr>
        <w:spacing w:after="0"/>
      </w:pPr>
      <w:r w:rsidRPr="00DE5A38">
        <w:t xml:space="preserve">Respecto de la viabilidad logística del proyecto, esto es, la factibilidad técnica de llevarlo a cabo: 0 </w:t>
      </w:r>
      <w:r w:rsidR="0069252B" w:rsidRPr="00DE5A38">
        <w:t>ó</w:t>
      </w:r>
      <w:r w:rsidRPr="00DE5A38">
        <w:t xml:space="preserve"> 50 puntos;</w:t>
      </w:r>
    </w:p>
    <w:p w14:paraId="718E715C" w14:textId="77777777" w:rsidR="00272B93" w:rsidRPr="00DE5A38" w:rsidRDefault="00FC3F34" w:rsidP="00CA047A">
      <w:pPr>
        <w:pStyle w:val="nNormal"/>
        <w:spacing w:after="0"/>
      </w:pPr>
      <w:r w:rsidRPr="00DE5A38">
        <w:t>El informe del Servicio Nacional de Turismo, respecto de la calidad de territorio turísticamente consolidado o de claro potencial turístico del lugar de emplazamiento del casino de juego cuyo permiso de operación se postula: hasta 100 puntos;</w:t>
      </w:r>
    </w:p>
    <w:p w14:paraId="009FB822" w14:textId="77777777" w:rsidR="00272B93" w:rsidRPr="00DE5A38" w:rsidRDefault="00FC3F34" w:rsidP="00CA047A">
      <w:pPr>
        <w:pStyle w:val="nNormal"/>
        <w:spacing w:after="0"/>
      </w:pPr>
      <w:r w:rsidRPr="00DE5A38">
        <w:t>El informe emitido por el Ministerio del Interior y Seguridad Pública, sobre las consideraciones de seguridad y orden público que reúna el lugar de emplazamiento y su entorno inmediato: hasta 100 puntos;</w:t>
      </w:r>
    </w:p>
    <w:p w14:paraId="0A679E70" w14:textId="77777777" w:rsidR="00795C46" w:rsidRPr="00DE5A38" w:rsidRDefault="00795C46" w:rsidP="00CA047A">
      <w:pPr>
        <w:pStyle w:val="nNormal"/>
        <w:spacing w:after="0"/>
      </w:pPr>
      <w:r w:rsidRPr="00DE5A38">
        <w:t>Las cualidades del proyecto y su plan de operación: hasta 600 puntos, considerando al efecto la siguiente desagregación de factores específicos:</w:t>
      </w:r>
    </w:p>
    <w:p w14:paraId="4435D700" w14:textId="77777777" w:rsidR="00795C46" w:rsidRPr="00DE5A38" w:rsidRDefault="00795C46" w:rsidP="00CA047A">
      <w:pPr>
        <w:pStyle w:val="nNormal"/>
        <w:numPr>
          <w:ilvl w:val="1"/>
          <w:numId w:val="6"/>
        </w:numPr>
        <w:spacing w:after="0"/>
      </w:pPr>
      <w:r w:rsidRPr="00DE5A38">
        <w:lastRenderedPageBreak/>
        <w:t>Incremento de la oferta turística de la zona de emplazamiento: hasta 100 puntos;</w:t>
      </w:r>
    </w:p>
    <w:p w14:paraId="6085F5B3" w14:textId="77777777" w:rsidR="00D3083D" w:rsidRPr="00DE5A38" w:rsidRDefault="00795C46" w:rsidP="00CA047A">
      <w:pPr>
        <w:pStyle w:val="nNormal"/>
        <w:numPr>
          <w:ilvl w:val="1"/>
          <w:numId w:val="6"/>
        </w:numPr>
        <w:spacing w:after="0"/>
      </w:pPr>
      <w:r w:rsidRPr="00DE5A38">
        <w:t>La ubicación, diseño y calidad de las instalaciones: hasta 100 puntos;</w:t>
      </w:r>
    </w:p>
    <w:p w14:paraId="0E2FBC55" w14:textId="77777777" w:rsidR="00D3083D" w:rsidRPr="00DE5A38" w:rsidRDefault="00795C46" w:rsidP="00CA047A">
      <w:pPr>
        <w:pStyle w:val="nNormal"/>
        <w:numPr>
          <w:ilvl w:val="1"/>
          <w:numId w:val="6"/>
        </w:numPr>
        <w:spacing w:after="0"/>
      </w:pPr>
      <w:r w:rsidRPr="00DE5A38">
        <w:t>La relación armónica con el entorno: hasta 100 puntos;</w:t>
      </w:r>
    </w:p>
    <w:p w14:paraId="5858B65C" w14:textId="77777777" w:rsidR="00D3083D" w:rsidRPr="00DE5A38" w:rsidRDefault="00795C46" w:rsidP="00CA047A">
      <w:pPr>
        <w:pStyle w:val="nNormal"/>
        <w:numPr>
          <w:ilvl w:val="1"/>
          <w:numId w:val="6"/>
        </w:numPr>
        <w:spacing w:after="0"/>
      </w:pPr>
      <w:r w:rsidRPr="00DE5A38">
        <w:t>La conexión con los servicios y vías públicas: hasta 100 puntos;</w:t>
      </w:r>
    </w:p>
    <w:p w14:paraId="5E58CB13" w14:textId="77777777" w:rsidR="00795C46" w:rsidRPr="00DE5A38" w:rsidRDefault="00795C46" w:rsidP="00CA047A">
      <w:pPr>
        <w:pStyle w:val="nNormal"/>
        <w:numPr>
          <w:ilvl w:val="1"/>
          <w:numId w:val="6"/>
        </w:numPr>
        <w:spacing w:after="0"/>
      </w:pPr>
      <w:r w:rsidRPr="00DE5A38">
        <w:t>Los efectos económico–sociales que la instalación del establecimiento haya de crear o promover en la zona geográfica de su localización: hasta 100 puntos.</w:t>
      </w:r>
    </w:p>
    <w:p w14:paraId="1F86637F" w14:textId="1BE35967" w:rsidR="00B22F3A" w:rsidRPr="00DE5A38" w:rsidRDefault="00795C46" w:rsidP="00CA047A">
      <w:pPr>
        <w:pStyle w:val="nNormal"/>
        <w:numPr>
          <w:ilvl w:val="1"/>
          <w:numId w:val="6"/>
        </w:numPr>
        <w:spacing w:after="0"/>
      </w:pPr>
      <w:r w:rsidRPr="00DE5A38">
        <w:t>El monto de la inversión total del proyecto a ejecutar por la sociedad oferente: hasta 100 puntos.</w:t>
      </w:r>
    </w:p>
    <w:p w14:paraId="0F4026EF" w14:textId="77777777" w:rsidR="00CA047A" w:rsidRDefault="00CA047A" w:rsidP="006A7A0E">
      <w:pPr>
        <w:rPr>
          <w:lang w:eastAsia="es-CL"/>
        </w:rPr>
      </w:pPr>
    </w:p>
    <w:p w14:paraId="5E37F128" w14:textId="77777777" w:rsidR="00DE5A38" w:rsidRDefault="00795C46" w:rsidP="006A7A0E">
      <w:pPr>
        <w:rPr>
          <w:lang w:eastAsia="es-CL"/>
        </w:rPr>
      </w:pPr>
      <w:r w:rsidRPr="00B1576D">
        <w:rPr>
          <w:lang w:eastAsia="es-CL"/>
        </w:rPr>
        <w:t>El puntaje ponderado total del proyecto corresponderá al valor porcentual, entre 0 y 100, que resulte de la suma de los puntajes de los cinco criterios mencionados en los numerales 1, 2, 3, 4 y 5 precedentes; dividido por el máximo puntaje posible para el oferente de acuerdo a la metodología de evaluación, multiplicado por la cifra 100.</w:t>
      </w:r>
    </w:p>
    <w:p w14:paraId="232B6479" w14:textId="77777777" w:rsidR="00DE5A38" w:rsidRDefault="00DE5A38" w:rsidP="00946400">
      <w:pPr>
        <w:pStyle w:val="Ttulo3"/>
      </w:pPr>
      <w:bookmarkStart w:id="89" w:name="_Toc447792000"/>
      <w:bookmarkStart w:id="90" w:name="_Toc448326262"/>
      <w:r w:rsidRPr="00CA047A">
        <w:t>Inversión</w:t>
      </w:r>
      <w:r>
        <w:t xml:space="preserve"> Mínima</w:t>
      </w:r>
      <w:bookmarkEnd w:id="89"/>
      <w:bookmarkEnd w:id="90"/>
    </w:p>
    <w:p w14:paraId="52BA40BC" w14:textId="2E9707AD" w:rsidR="00DE5A38" w:rsidRDefault="00DE5A38" w:rsidP="006A7A0E">
      <w:pPr>
        <w:rPr>
          <w:lang w:eastAsia="es-CL"/>
        </w:rPr>
      </w:pPr>
      <w:r>
        <w:rPr>
          <w:lang w:eastAsia="es-CL"/>
        </w:rPr>
        <w:t>De acuerdo a lo establecido en el artículo 33 del Reglamento, se ha realizado una estimación fundada del monto mínimo de inversión que la Superintendencia considera para</w:t>
      </w:r>
      <w:r w:rsidR="00697FEF">
        <w:rPr>
          <w:lang w:eastAsia="es-CL"/>
        </w:rPr>
        <w:t xml:space="preserve"> </w:t>
      </w:r>
      <w:r w:rsidR="00B22F3A">
        <w:rPr>
          <w:lang w:eastAsia="es-CL"/>
        </w:rPr>
        <w:t xml:space="preserve">el Proceso en la </w:t>
      </w:r>
      <w:r w:rsidR="00697FEF">
        <w:rPr>
          <w:lang w:eastAsia="es-CL"/>
        </w:rPr>
        <w:t xml:space="preserve">comuna de </w:t>
      </w:r>
      <w:r w:rsidR="00697FEF" w:rsidRPr="00697FEF">
        <w:rPr>
          <w:highlight w:val="yellow"/>
          <w:lang w:eastAsia="es-CL"/>
        </w:rPr>
        <w:t>CCC</w:t>
      </w:r>
      <w:r>
        <w:rPr>
          <w:lang w:eastAsia="es-CL"/>
        </w:rPr>
        <w:t xml:space="preserve"> </w:t>
      </w:r>
      <w:r w:rsidR="00697FEF">
        <w:rPr>
          <w:lang w:eastAsia="es-CL"/>
        </w:rPr>
        <w:t xml:space="preserve">que asciende a UF </w:t>
      </w:r>
      <w:r w:rsidR="00697FEF" w:rsidRPr="00697FEF">
        <w:rPr>
          <w:highlight w:val="yellow"/>
          <w:lang w:eastAsia="es-CL"/>
        </w:rPr>
        <w:t>XXX</w:t>
      </w:r>
      <w:r w:rsidR="00697FEF">
        <w:rPr>
          <w:lang w:eastAsia="es-CL"/>
        </w:rPr>
        <w:t>. Este monto se tendrá en consideración para la asignación de puntaje as</w:t>
      </w:r>
      <w:r w:rsidR="003D6242">
        <w:rPr>
          <w:lang w:eastAsia="es-CL"/>
        </w:rPr>
        <w:t>oci</w:t>
      </w:r>
      <w:r w:rsidR="00697FEF">
        <w:rPr>
          <w:lang w:eastAsia="es-CL"/>
        </w:rPr>
        <w:t>ado a este subfactor, de acuerdo a lo establecido en la Metodología de Evaluación anexa.</w:t>
      </w:r>
    </w:p>
    <w:p w14:paraId="4E5250C6" w14:textId="77777777" w:rsidR="006F7928" w:rsidRPr="00B1576D" w:rsidRDefault="001637DA" w:rsidP="00946400">
      <w:pPr>
        <w:pStyle w:val="Ttulo2"/>
      </w:pPr>
      <w:bookmarkStart w:id="91" w:name="_Toc447792001"/>
      <w:bookmarkStart w:id="92" w:name="_Toc448326263"/>
      <w:r>
        <w:t>Antecedentes Adicionales</w:t>
      </w:r>
      <w:bookmarkEnd w:id="91"/>
      <w:bookmarkEnd w:id="92"/>
    </w:p>
    <w:p w14:paraId="46F1AC06" w14:textId="0A0BC2AC" w:rsidR="00985E35" w:rsidRPr="00B1576D" w:rsidRDefault="00985E35" w:rsidP="006A7A0E">
      <w:r w:rsidRPr="00B1576D">
        <w:t>Para cumplir</w:t>
      </w:r>
      <w:r w:rsidR="00697FEF">
        <w:t xml:space="preserve"> con lo dispuesto en estas Bases en consideración a la </w:t>
      </w:r>
      <w:r w:rsidR="00697FEF">
        <w:rPr>
          <w:lang w:eastAsia="es-CL"/>
        </w:rPr>
        <w:t>evaluación</w:t>
      </w:r>
      <w:r w:rsidR="00F36CB9" w:rsidRPr="00B1576D">
        <w:rPr>
          <w:lang w:eastAsia="es-CL"/>
        </w:rPr>
        <w:t xml:space="preserve"> y pondera</w:t>
      </w:r>
      <w:r w:rsidR="00697FEF">
        <w:rPr>
          <w:lang w:eastAsia="es-CL"/>
        </w:rPr>
        <w:t>ción</w:t>
      </w:r>
      <w:r w:rsidR="00F36CB9" w:rsidRPr="00B1576D">
        <w:rPr>
          <w:lang w:eastAsia="es-CL"/>
        </w:rPr>
        <w:t xml:space="preserve"> cada una de las ofertas técnicas</w:t>
      </w:r>
      <w:r w:rsidRPr="00B1576D">
        <w:t xml:space="preserve">, la Superintendencia estará facultada para investigar los antecedentes comerciales, tributarios y financieros, administrativos, civiles y penales </w:t>
      </w:r>
      <w:r w:rsidR="003D6242">
        <w:t xml:space="preserve">de las sociedades postulantes </w:t>
      </w:r>
      <w:r w:rsidRPr="00B1576D">
        <w:t xml:space="preserve">necesarios para verificar los requisitos que la Ley y el Reglamento establecen. </w:t>
      </w:r>
      <w:r w:rsidR="003D6242">
        <w:t>Sin perjuicio de lo anterior, la Superintendencia dentro del ámbito de las facultades que la Ley de casinos y el reglamento le otorgan para este proceso, podrá solicitar todo otro antecedente adicional que estime pertinente.</w:t>
      </w:r>
    </w:p>
    <w:p w14:paraId="406131D4" w14:textId="4E2CCE49" w:rsidR="00985E35" w:rsidRPr="00B1576D" w:rsidRDefault="00BE76B7" w:rsidP="00BE76B7">
      <w:pPr>
        <w:pStyle w:val="NormalWeb"/>
      </w:pPr>
      <w:r>
        <w:t xml:space="preserve">Durante el proceso de evaluación, el Comité la Superintendencia podrá requerir de las sociedades que hubieren presentado ofertas y de cualquiera de sus accionistas personas naturales o jurídicas, todas las aclaraciones, precisiones y antecedentes que sean necesarios para desarrollar y concluir la evaluación. En particular </w:t>
      </w:r>
      <w:r w:rsidR="001A543A" w:rsidRPr="00B1576D">
        <w:t xml:space="preserve">podrá </w:t>
      </w:r>
      <w:r w:rsidR="00985E35" w:rsidRPr="00B1576D">
        <w:t>solicitar a la sociedad postulante</w:t>
      </w:r>
      <w:r w:rsidR="001A543A" w:rsidRPr="00B1576D">
        <w:t xml:space="preserve"> mayores antecedentes que permitan</w:t>
      </w:r>
      <w:r w:rsidR="00985E35" w:rsidRPr="00B1576D">
        <w:t xml:space="preserve"> justificar el origen y </w:t>
      </w:r>
      <w:r w:rsidR="00EA06A3" w:rsidRPr="00B1576D">
        <w:t xml:space="preserve">suficiencia </w:t>
      </w:r>
      <w:r w:rsidR="00985E35" w:rsidRPr="00B1576D">
        <w:t xml:space="preserve">de los dineros que destinarán a financiar la oferta  provengan éstos de accionistas personas naturales o jurídicas o de terceros, caso en el cual </w:t>
      </w:r>
      <w:r w:rsidR="003D6242">
        <w:t xml:space="preserve">la Superintendencia </w:t>
      </w:r>
      <w:r w:rsidR="00985E35" w:rsidRPr="00B1576D">
        <w:t>podrá solicitar también antecedentes relacionados con la formación del patrimonio de quienes financian dicha propuesta.</w:t>
      </w:r>
    </w:p>
    <w:p w14:paraId="6BC16F13" w14:textId="56F30917" w:rsidR="00985E35" w:rsidRPr="00B1576D" w:rsidRDefault="00985E35" w:rsidP="006A7A0E">
      <w:r w:rsidRPr="00B1576D">
        <w:t>Si la Superintendencia, durante el proceso de evaluación requiere aclaraciones, precisiones y antecedentes de parte de las sociedades que hubieren presentado oferta técnica y económica</w:t>
      </w:r>
      <w:r w:rsidR="00EA06A3" w:rsidRPr="00B1576D">
        <w:t>,</w:t>
      </w:r>
      <w:r w:rsidRPr="00B1576D">
        <w:t xml:space="preserve"> como de cualquiera de sus accionistas</w:t>
      </w:r>
      <w:r w:rsidR="00EA06A3" w:rsidRPr="00B1576D">
        <w:t>,</w:t>
      </w:r>
      <w:r w:rsidRPr="00B1576D">
        <w:t xml:space="preserve"> para desarrollar y concluir la evaluación, dejará constancia razonada del requerimiento en el informe que realizará respecto de cada propuesta.</w:t>
      </w:r>
    </w:p>
    <w:p w14:paraId="76CF1CAB" w14:textId="76C91BA5" w:rsidR="00A03813" w:rsidRPr="00B1576D" w:rsidRDefault="001637DA" w:rsidP="00946400">
      <w:pPr>
        <w:pStyle w:val="Ttulo3"/>
      </w:pPr>
      <w:bookmarkStart w:id="93" w:name="_Toc447792002"/>
      <w:bookmarkStart w:id="94" w:name="_Toc448326264"/>
      <w:r>
        <w:lastRenderedPageBreak/>
        <w:t>Informes de otros Organismos</w:t>
      </w:r>
      <w:bookmarkEnd w:id="93"/>
      <w:r w:rsidR="008358CC">
        <w:t xml:space="preserve"> públicos y privados</w:t>
      </w:r>
      <w:bookmarkEnd w:id="94"/>
    </w:p>
    <w:p w14:paraId="028BB433" w14:textId="6A6BCA6A" w:rsidR="00A03813" w:rsidRPr="00B1576D" w:rsidRDefault="003D6242" w:rsidP="006A7A0E">
      <w:r>
        <w:t>Respecto de cada solicitud de operación que se presente, l</w:t>
      </w:r>
      <w:r w:rsidR="00FC3E6C" w:rsidRPr="00B1576D">
        <w:t>a Superintendencia requerir</w:t>
      </w:r>
      <w:r>
        <w:t>á</w:t>
      </w:r>
      <w:r w:rsidR="00FC3E6C" w:rsidRPr="00B1576D">
        <w:t xml:space="preserve"> </w:t>
      </w:r>
      <w:r>
        <w:t xml:space="preserve">los informes que se mencionan en el artículo 22 de la Ley de </w:t>
      </w:r>
      <w:r w:rsidR="00B33DDD">
        <w:t>C</w:t>
      </w:r>
      <w:r>
        <w:t xml:space="preserve">asinos. Adicionalmente, y conforme al artículo 30 del </w:t>
      </w:r>
      <w:r w:rsidR="00B33DDD">
        <w:t>R</w:t>
      </w:r>
      <w:r>
        <w:t xml:space="preserve">eglamento, la Superintendencia podrá requerir  </w:t>
      </w:r>
      <w:r w:rsidR="00FC3E6C" w:rsidRPr="00B1576D">
        <w:t>fundadamente los demás informes</w:t>
      </w:r>
      <w:r w:rsidR="008358CC">
        <w:t xml:space="preserve"> </w:t>
      </w:r>
      <w:r w:rsidR="00FC3E6C" w:rsidRPr="00B1576D">
        <w:t>que estime necesarios y pertinentes de cualquier otro Órgano de la Administración del Estado para que, dentro de la esfera de su competencia, emita un pronunciamiento técnico sobre cualquier componente, elemento o antecedente de la oferta técnica, como asimismo respecto de la sociedad p</w:t>
      </w:r>
      <w:r w:rsidR="00284806" w:rsidRPr="00B1576D">
        <w:t>ostulante</w:t>
      </w:r>
      <w:r w:rsidR="00FC3E6C" w:rsidRPr="00B1576D">
        <w:t xml:space="preserve"> y de sus accionistas. </w:t>
      </w:r>
      <w:r>
        <w:t>De igual mod</w:t>
      </w:r>
      <w:r w:rsidRPr="00B1576D">
        <w:t>o</w:t>
      </w:r>
      <w:r w:rsidR="00FC3E6C" w:rsidRPr="00B1576D">
        <w:t>, la Superintendencia est</w:t>
      </w:r>
      <w:r>
        <w:t>á</w:t>
      </w:r>
      <w:r w:rsidR="00FC3E6C" w:rsidRPr="00B1576D">
        <w:t xml:space="preserve"> facultada para recabar cualquier otro informe, estudio o investigación, de origen público o privado, que estime conveniente para mejor evaluar y resolver la respectiva oferta</w:t>
      </w:r>
      <w:r>
        <w:t>.</w:t>
      </w:r>
    </w:p>
    <w:p w14:paraId="448CC78B" w14:textId="77777777" w:rsidR="00FF66B5" w:rsidRDefault="00FF66B5" w:rsidP="00946400">
      <w:pPr>
        <w:pStyle w:val="Ttulo2"/>
      </w:pPr>
      <w:bookmarkStart w:id="95" w:name="_Toc447792003"/>
      <w:bookmarkStart w:id="96" w:name="_Toc448326265"/>
      <w:bookmarkStart w:id="97" w:name="_Toc442467106"/>
      <w:bookmarkStart w:id="98" w:name="_Toc444101155"/>
      <w:r>
        <w:t>Resultado de la Evaluación</w:t>
      </w:r>
      <w:bookmarkEnd w:id="95"/>
      <w:bookmarkEnd w:id="96"/>
    </w:p>
    <w:p w14:paraId="67CFF01F" w14:textId="4441234B" w:rsidR="0052654B" w:rsidRPr="00B1576D" w:rsidRDefault="00FF66B5" w:rsidP="00946400">
      <w:pPr>
        <w:pStyle w:val="Ttulo3"/>
      </w:pPr>
      <w:bookmarkStart w:id="99" w:name="_Toc447792004"/>
      <w:bookmarkStart w:id="100" w:name="_Toc448326266"/>
      <w:bookmarkEnd w:id="97"/>
      <w:bookmarkEnd w:id="98"/>
      <w:r>
        <w:t xml:space="preserve">Proposición </w:t>
      </w:r>
      <w:r w:rsidR="00B33DDD">
        <w:t xml:space="preserve">y pronunciamiento del </w:t>
      </w:r>
      <w:r>
        <w:t>l Consejo Resolutivo</w:t>
      </w:r>
      <w:bookmarkEnd w:id="99"/>
      <w:bookmarkEnd w:id="100"/>
    </w:p>
    <w:p w14:paraId="640E48A6" w14:textId="77777777" w:rsidR="00B22F3A" w:rsidRDefault="00B22F3A" w:rsidP="00B22F3A">
      <w:bookmarkStart w:id="101" w:name="_Toc444101157"/>
      <w:bookmarkEnd w:id="101"/>
      <w:r>
        <w:t>Dentro del plazo de 120 días siguientes de la Audiencia de Presentación de las Ofertas, el Superintendente, acompañando el expediente que ha constituido para el efecto, formulará una proposición de evaluación sobre cada una de las respectivas ofertas técnicas, fundado en la aplicación de las distintas etapas, factores, subfactores e indicadores que se detallan en este documento y en la Metodología de Evaluación. Esta proposición será sometida a conocimiento y decisión del Consejo Resolutivo de la Superintendencia, el que ratificará el puntaje, solicitará revisión del mismo o pondrá término a la evaluación en los casos que el Superintendente no haya dado curso a la misma, en un plazo de cuarenta días contados desde la recepción de los expedientes.</w:t>
      </w:r>
    </w:p>
    <w:p w14:paraId="2C35126A" w14:textId="77777777" w:rsidR="00267862" w:rsidRPr="00B1576D" w:rsidRDefault="00FF66B5" w:rsidP="00946400">
      <w:pPr>
        <w:pStyle w:val="Ttulo3"/>
      </w:pPr>
      <w:bookmarkStart w:id="102" w:name="_Toc447792006"/>
      <w:bookmarkStart w:id="103" w:name="_Toc448326267"/>
      <w:r>
        <w:t>Respuesta observaciones del Consejo Resolutivo</w:t>
      </w:r>
      <w:bookmarkEnd w:id="102"/>
      <w:bookmarkEnd w:id="103"/>
    </w:p>
    <w:p w14:paraId="0B102AED" w14:textId="49787335" w:rsidR="00865F38" w:rsidRPr="00B1576D" w:rsidRDefault="00267862" w:rsidP="006A7A0E">
      <w:r w:rsidRPr="00B1576D">
        <w:t xml:space="preserve">De </w:t>
      </w:r>
      <w:r w:rsidR="00046B99" w:rsidRPr="00B1576D">
        <w:t>requerirse</w:t>
      </w:r>
      <w:r w:rsidR="00865F38" w:rsidRPr="00B1576D">
        <w:t xml:space="preserve"> la revisión de los puntajes, el Superintendente </w:t>
      </w:r>
      <w:r w:rsidR="00B50193" w:rsidRPr="00B1576D">
        <w:t>mediante el Comité Técnico de Evaluación,</w:t>
      </w:r>
      <w:r w:rsidR="00046B99" w:rsidRPr="00B1576D">
        <w:t xml:space="preserve"> deberá pronunciarse </w:t>
      </w:r>
      <w:r w:rsidR="00865F38" w:rsidRPr="00B1576D">
        <w:t xml:space="preserve">en el plazo máximo de </w:t>
      </w:r>
      <w:r w:rsidR="00046B99" w:rsidRPr="00B1576D">
        <w:t>cinco</w:t>
      </w:r>
      <w:r w:rsidR="00865F38" w:rsidRPr="00B1576D">
        <w:t xml:space="preserve"> días</w:t>
      </w:r>
      <w:r w:rsidR="00046B99" w:rsidRPr="00B1576D">
        <w:t xml:space="preserve"> contado desde el requerimiento</w:t>
      </w:r>
      <w:r w:rsidR="00B22F3A">
        <w:t>, presentando una nueva propuesta de evaluación al Consejo</w:t>
      </w:r>
      <w:r w:rsidR="00865F38" w:rsidRPr="00B1576D">
        <w:t>.</w:t>
      </w:r>
    </w:p>
    <w:p w14:paraId="34B47920" w14:textId="77777777" w:rsidR="0052654B" w:rsidRPr="00FF66B5" w:rsidRDefault="00FF66B5" w:rsidP="00946400">
      <w:pPr>
        <w:pStyle w:val="Ttulo3"/>
      </w:pPr>
      <w:bookmarkStart w:id="104" w:name="_Toc447792008"/>
      <w:bookmarkStart w:id="105" w:name="_Toc448326268"/>
      <w:r>
        <w:t>Resolución de Evaluación de las Ofertas</w:t>
      </w:r>
      <w:bookmarkEnd w:id="104"/>
      <w:bookmarkEnd w:id="105"/>
      <w:r w:rsidR="0052654B" w:rsidRPr="00FF66B5">
        <w:t xml:space="preserve"> </w:t>
      </w:r>
    </w:p>
    <w:p w14:paraId="0A97A34F" w14:textId="77777777" w:rsidR="00865F38" w:rsidRPr="00B1576D" w:rsidRDefault="00865F38" w:rsidP="006A7A0E">
      <w:r w:rsidRPr="00B1576D">
        <w:t xml:space="preserve">De acuerdo a lo dispuesto en el artículo 39 del </w:t>
      </w:r>
      <w:r w:rsidR="00272B93" w:rsidRPr="00B1576D">
        <w:t>R</w:t>
      </w:r>
      <w:r w:rsidRPr="00B1576D">
        <w:t>eglamento, luego de la ratificación por parte del Consejo Resolutivo de las propuestas de evaluación de las ofertas técnicas, el Superintendente, dentro del plazo de cinco días, dictará la Resolución de Evaluación</w:t>
      </w:r>
      <w:r w:rsidR="00DC457E" w:rsidRPr="00B1576D">
        <w:t>, que contendrá los puntajes finales ponderados de cada una de las sociedades postulantes y, en su caso, el hecho de no haber continuado con la evaluación si corresponde. Luego, citará a la audiencia de apertura de la oferta económica a a</w:t>
      </w:r>
      <w:r w:rsidR="003B15C9" w:rsidRPr="00B1576D">
        <w:t>quellos postulantes que hubiesen</w:t>
      </w:r>
      <w:r w:rsidR="00DC457E" w:rsidRPr="00B1576D">
        <w:t xml:space="preserve"> obtenido al menos el 60% del puntaje total.</w:t>
      </w:r>
    </w:p>
    <w:p w14:paraId="7A247E67" w14:textId="2E8BC0C4" w:rsidR="00FF66B5" w:rsidRDefault="00626DC4" w:rsidP="006A7A0E">
      <w:pPr>
        <w:rPr>
          <w:snapToGrid w:val="0"/>
          <w:sz w:val="28"/>
        </w:rPr>
      </w:pPr>
      <w:r w:rsidRPr="00B1576D">
        <w:t>De la Resolución de Evaluación se publicará un extracto en el Diario Oficial dentro de los cinco días siguientes a su dictación, sin perjuicio de la notificación que corresponda hacer a las sociedades postulantes.</w:t>
      </w:r>
      <w:bookmarkStart w:id="106" w:name="_Toc442467111"/>
      <w:bookmarkStart w:id="107" w:name="_Toc444101162"/>
      <w:r w:rsidR="00FF66B5">
        <w:br w:type="page"/>
      </w:r>
    </w:p>
    <w:p w14:paraId="65122FEC" w14:textId="7031AF0C" w:rsidR="00FF66B5" w:rsidRDefault="00FF66B5" w:rsidP="006A7A0E">
      <w:pPr>
        <w:pStyle w:val="Ttulo1"/>
      </w:pPr>
      <w:bookmarkStart w:id="108" w:name="_Toc447792009"/>
      <w:bookmarkStart w:id="109" w:name="_Toc448326269"/>
      <w:r>
        <w:lastRenderedPageBreak/>
        <w:t>Otorgamiento del Permiso de Operación</w:t>
      </w:r>
      <w:bookmarkEnd w:id="108"/>
      <w:bookmarkEnd w:id="109"/>
    </w:p>
    <w:p w14:paraId="60051D04" w14:textId="00C1F6C0" w:rsidR="00946400" w:rsidRPr="00946400" w:rsidRDefault="00946400" w:rsidP="00946400">
      <w:pPr>
        <w:pStyle w:val="Ttulo2"/>
      </w:pPr>
      <w:bookmarkStart w:id="110" w:name="_Toc447792010"/>
      <w:bookmarkStart w:id="111" w:name="_Toc448326270"/>
      <w:r w:rsidRPr="00946400">
        <w:t>Audiencia de Apertura de la Oferta Económica</w:t>
      </w:r>
      <w:bookmarkEnd w:id="106"/>
      <w:bookmarkEnd w:id="107"/>
      <w:bookmarkEnd w:id="110"/>
      <w:bookmarkEnd w:id="111"/>
    </w:p>
    <w:p w14:paraId="027379E6" w14:textId="349ED92E" w:rsidR="00F8398E" w:rsidRPr="00B1576D" w:rsidRDefault="00F8398E" w:rsidP="006A7A0E">
      <w:pPr>
        <w:rPr>
          <w:lang w:eastAsia="es-CL"/>
        </w:rPr>
      </w:pPr>
      <w:r w:rsidRPr="00B1576D">
        <w:rPr>
          <w:lang w:eastAsia="es-CL"/>
        </w:rPr>
        <w:t xml:space="preserve">El Consejo Resolutivo sesionará dentro de los cinco días siguientes a la publicación </w:t>
      </w:r>
      <w:r w:rsidR="00C20DA9">
        <w:rPr>
          <w:lang w:eastAsia="es-CL"/>
        </w:rPr>
        <w:t xml:space="preserve">en el Diario Oficial </w:t>
      </w:r>
      <w:r w:rsidRPr="00B1576D">
        <w:rPr>
          <w:lang w:eastAsia="es-CL"/>
        </w:rPr>
        <w:t>de la resolución de evaluación de la oferta técnica. En esta sesión deberá llevarse a cabo la audiencia pública de apertura de la oferta económica. Un representante del Consejo Resolutivo abrirá los sobres que contengan las ofertas de aquellos postulantes que cuenten con el puntaje mínimo establecido.</w:t>
      </w:r>
    </w:p>
    <w:p w14:paraId="6EB16EAA" w14:textId="2AA1D1C3" w:rsidR="00C72FBF" w:rsidRDefault="00F8398E" w:rsidP="006A7A0E">
      <w:pPr>
        <w:rPr>
          <w:lang w:eastAsia="es-CL"/>
        </w:rPr>
      </w:pPr>
      <w:r w:rsidRPr="00B1576D">
        <w:rPr>
          <w:lang w:eastAsia="es-CL"/>
        </w:rPr>
        <w:t xml:space="preserve">En esta audiencia, el Consejo </w:t>
      </w:r>
      <w:r w:rsidR="00B00A2F" w:rsidRPr="00B1576D">
        <w:rPr>
          <w:lang w:eastAsia="es-CL"/>
        </w:rPr>
        <w:t>R</w:t>
      </w:r>
      <w:r w:rsidRPr="00B1576D">
        <w:rPr>
          <w:lang w:eastAsia="es-CL"/>
        </w:rPr>
        <w:t>esolutivo</w:t>
      </w:r>
      <w:r w:rsidR="00323E7E" w:rsidRPr="00B1576D">
        <w:rPr>
          <w:lang w:eastAsia="es-CL"/>
        </w:rPr>
        <w:t xml:space="preserve"> determinará el otorga</w:t>
      </w:r>
      <w:r w:rsidR="00C20DA9">
        <w:rPr>
          <w:lang w:eastAsia="es-CL"/>
        </w:rPr>
        <w:t xml:space="preserve">r, </w:t>
      </w:r>
      <w:r w:rsidR="00323E7E" w:rsidRPr="00B1576D">
        <w:rPr>
          <w:lang w:eastAsia="es-CL"/>
        </w:rPr>
        <w:t xml:space="preserve"> denega</w:t>
      </w:r>
      <w:r w:rsidR="00C20DA9">
        <w:rPr>
          <w:lang w:eastAsia="es-CL"/>
        </w:rPr>
        <w:t>r</w:t>
      </w:r>
      <w:r w:rsidR="00323E7E" w:rsidRPr="00B1576D">
        <w:rPr>
          <w:lang w:eastAsia="es-CL"/>
        </w:rPr>
        <w:t xml:space="preserve"> o renova</w:t>
      </w:r>
      <w:r w:rsidR="00C20DA9">
        <w:rPr>
          <w:lang w:eastAsia="es-CL"/>
        </w:rPr>
        <w:t>r</w:t>
      </w:r>
      <w:r w:rsidR="00323E7E" w:rsidRPr="00B1576D">
        <w:rPr>
          <w:lang w:eastAsia="es-CL"/>
        </w:rPr>
        <w:t xml:space="preserve">  los permisos de operación</w:t>
      </w:r>
      <w:r w:rsidR="00C20DA9">
        <w:rPr>
          <w:lang w:eastAsia="es-CL"/>
        </w:rPr>
        <w:t>.</w:t>
      </w:r>
      <w:r w:rsidR="00323E7E" w:rsidRPr="00B1576D">
        <w:rPr>
          <w:lang w:eastAsia="es-CL"/>
        </w:rPr>
        <w:t xml:space="preserve"> </w:t>
      </w:r>
    </w:p>
    <w:p w14:paraId="27EF6EB0" w14:textId="77777777" w:rsidR="00C72FBF" w:rsidRPr="00B1576D" w:rsidRDefault="00C72FBF" w:rsidP="006A7A0E">
      <w:pPr>
        <w:rPr>
          <w:lang w:eastAsia="es-CL"/>
        </w:rPr>
      </w:pPr>
      <w:r w:rsidRPr="001C6AEA">
        <w:t>En caso de producirse un empate en la oferta económica, esto es, que más de una propuesta a un permiso de operación ofrezca la misma cantidad en unidades de fomento en su oferta económica, se otorgará el permiso de operación a aquél postulante que hubiera obtenido un puntaje ponderado mayor en la etapa de evaluación técnica. Si el empate continúa, resolverá el Consejo Resolutivo fundadamente, de conformidad con sus atribuciones</w:t>
      </w:r>
    </w:p>
    <w:p w14:paraId="27762464" w14:textId="7C1E1D42" w:rsidR="00081913" w:rsidRPr="00B1576D" w:rsidRDefault="00946400" w:rsidP="00946400">
      <w:pPr>
        <w:pStyle w:val="Ttulo2"/>
      </w:pPr>
      <w:bookmarkStart w:id="112" w:name="_Toc448326271"/>
      <w:r>
        <w:t>Resolución de Otorgamiento, Denegació o Reonovación del Permiso de Operación</w:t>
      </w:r>
      <w:bookmarkEnd w:id="112"/>
    </w:p>
    <w:p w14:paraId="7A5ECA9E" w14:textId="3E37B92E" w:rsidR="00323E7E" w:rsidRPr="00B1576D" w:rsidRDefault="00323E7E" w:rsidP="006A7A0E">
      <w:r w:rsidRPr="00B1576D">
        <w:t xml:space="preserve">La resolución de otorgamiento, denegación o renovación de los permisos de operación objeto de este </w:t>
      </w:r>
      <w:r w:rsidR="00C20DA9">
        <w:t>P</w:t>
      </w:r>
      <w:r w:rsidRPr="00B1576D">
        <w:t>rocedimiento, será dictada por el Superintendente dentro de los cinco días siguientes a la audiencia de apertura de la oferta económica</w:t>
      </w:r>
      <w:r w:rsidR="00C20DA9">
        <w:t>.</w:t>
      </w:r>
    </w:p>
    <w:p w14:paraId="21901BBE" w14:textId="62C6262E" w:rsidR="00323E7E" w:rsidRDefault="00323E7E" w:rsidP="006A7A0E">
      <w:r w:rsidRPr="00B1576D">
        <w:t>Un extracto de la Resolución que otorgue, deniegue o renueve el referido permiso de operación</w:t>
      </w:r>
      <w:r w:rsidR="00C20DA9">
        <w:t xml:space="preserve"> se </w:t>
      </w:r>
      <w:r w:rsidRPr="00B1576D">
        <w:t>deberá publicar en el Diario Oficial</w:t>
      </w:r>
      <w:r w:rsidR="00284806" w:rsidRPr="00B1576D">
        <w:t xml:space="preserve">, </w:t>
      </w:r>
      <w:r w:rsidRPr="00B1576D">
        <w:t>por una vez</w:t>
      </w:r>
      <w:r w:rsidR="00284806" w:rsidRPr="00B1576D">
        <w:t>,</w:t>
      </w:r>
      <w:r w:rsidRPr="00B1576D">
        <w:t xml:space="preserve"> dentro de los diez días siguientes a su dictación.</w:t>
      </w:r>
    </w:p>
    <w:p w14:paraId="39D6DF54" w14:textId="77777777" w:rsidR="001F0A90" w:rsidRDefault="001F0A90" w:rsidP="006A7A0E">
      <w:r>
        <w:t xml:space="preserve">Los contenidos de dicha resolución se ajustarán a lo dispuesto en el </w:t>
      </w:r>
      <w:r w:rsidR="003B0F87" w:rsidRPr="00B1576D">
        <w:t>artículo 45 del Reglamento</w:t>
      </w:r>
      <w:r>
        <w:t>.</w:t>
      </w:r>
    </w:p>
    <w:p w14:paraId="7037038C" w14:textId="66469B27" w:rsidR="00CC0F04" w:rsidRPr="00FF66B5" w:rsidRDefault="00946400" w:rsidP="00946400">
      <w:pPr>
        <w:pStyle w:val="Ttulo2"/>
      </w:pPr>
      <w:bookmarkStart w:id="113" w:name="_Toc448326272"/>
      <w:r>
        <w:t>Reemplazo de las Cauciones</w:t>
      </w:r>
      <w:bookmarkEnd w:id="113"/>
      <w:r w:rsidR="00675AC0" w:rsidRPr="00FF66B5">
        <w:t xml:space="preserve"> </w:t>
      </w:r>
    </w:p>
    <w:p w14:paraId="098FF717" w14:textId="7680C06E" w:rsidR="007A5AF7" w:rsidRPr="00B1576D" w:rsidRDefault="00CC0F04" w:rsidP="006A7A0E">
      <w:r w:rsidRPr="00B1576D">
        <w:t xml:space="preserve">Las sociedades que hubieren obtenido el permiso de operación deberán reemplazar  la boleta </w:t>
      </w:r>
      <w:r w:rsidR="007A5AF7" w:rsidRPr="00B1576D">
        <w:t xml:space="preserve">de garantía </w:t>
      </w:r>
      <w:r w:rsidR="00C20DA9" w:rsidRPr="00C20DA9">
        <w:t>de l</w:t>
      </w:r>
      <w:r w:rsidR="00C20DA9">
        <w:t>a letra c) del artículo 12 del R</w:t>
      </w:r>
      <w:r w:rsidR="00C20DA9" w:rsidRPr="00C20DA9">
        <w:t>eglamento</w:t>
      </w:r>
      <w:r w:rsidR="00C20DA9">
        <w:t>,</w:t>
      </w:r>
      <w:r w:rsidR="00C20DA9" w:rsidRPr="00C20DA9">
        <w:t xml:space="preserve"> </w:t>
      </w:r>
      <w:r w:rsidR="007A5AF7" w:rsidRPr="00B1576D">
        <w:t xml:space="preserve">equivalente al 5% del monto total de la inversión total del proyecto, </w:t>
      </w:r>
      <w:r w:rsidR="00C20DA9" w:rsidRPr="00C20DA9">
        <w:t>individualizada estas Bases</w:t>
      </w:r>
      <w:r w:rsidR="001F0A90">
        <w:t xml:space="preserve"> </w:t>
      </w:r>
      <w:r w:rsidR="007A5AF7" w:rsidRPr="00B1576D">
        <w:t xml:space="preserve">por otra del mismo monto pero </w:t>
      </w:r>
      <w:r w:rsidR="00C20DA9">
        <w:t xml:space="preserve">con una </w:t>
      </w:r>
      <w:r w:rsidR="007A5AF7" w:rsidRPr="00B1576D">
        <w:t xml:space="preserve">vigencia </w:t>
      </w:r>
      <w:r w:rsidR="00C20DA9">
        <w:t xml:space="preserve">que </w:t>
      </w:r>
      <w:r w:rsidR="007A5AF7" w:rsidRPr="00B1576D">
        <w:t>considere hasta seis meses después del período que la sociedad postulante haya establecido para la ejecución del proyecto.</w:t>
      </w:r>
    </w:p>
    <w:p w14:paraId="7306F01D" w14:textId="77777777" w:rsidR="007A5AF7" w:rsidRPr="00B1576D" w:rsidRDefault="00D3083D" w:rsidP="006A7A0E">
      <w:r w:rsidRPr="00B1576D">
        <w:t>Asi</w:t>
      </w:r>
      <w:r w:rsidR="007A5AF7" w:rsidRPr="00B1576D">
        <w:t xml:space="preserve">mismo, deberá reemplazar aquel documento entregado en virtud de lo estipulado en el numeral 14) del título 3 de “Contenido de la Oferta” </w:t>
      </w:r>
      <w:r w:rsidR="00AC4FC7" w:rsidRPr="00B1576D">
        <w:t>del capítulo III de “Presentación de ofertas” por otra de las mismas características, por una suma equivalente al monto de tres años de la oferta económica expresada en UF cuya vigencia comprenda todo el período de duración del permiso de operación.</w:t>
      </w:r>
    </w:p>
    <w:p w14:paraId="6C3682AA" w14:textId="77777777" w:rsidR="008A2ED0" w:rsidRPr="00B1576D" w:rsidRDefault="00AC4FC7" w:rsidP="006A7A0E">
      <w:r w:rsidRPr="00B1576D">
        <w:t>De acuerdo a lo d</w:t>
      </w:r>
      <w:r w:rsidR="00272B93" w:rsidRPr="00B1576D">
        <w:t>ispuesto en el artículo 46 del R</w:t>
      </w:r>
      <w:r w:rsidRPr="00B1576D">
        <w:t xml:space="preserve">eglamento, la Superintendencia podrá autorizar la entrega de garantía por un plazo menor, no inferior a un año, y debiendo en todo caso renovarse de forma oportuna. También podrá autorizar la sustitución de la garantía en los últimos tres años de vigencia del permiso de operación por una de monto menor que en ningún caso podrá ser inferior a los </w:t>
      </w:r>
      <w:r w:rsidRPr="00B1576D">
        <w:lastRenderedPageBreak/>
        <w:t>recursos correspondientes al tiempo restante de vigencia del permiso.</w:t>
      </w:r>
      <w:r w:rsidR="008A2ED0" w:rsidRPr="00B1576D">
        <w:t xml:space="preserve"> </w:t>
      </w:r>
    </w:p>
    <w:p w14:paraId="6A23ECAE" w14:textId="35A11368" w:rsidR="00C20DA9" w:rsidRDefault="008A2ED0" w:rsidP="006A7A0E">
      <w:r w:rsidRPr="00B1576D">
        <w:t>Si la renovación no se lleva a cabo cuando corresponda, de acuerdo a lo dispuesto en la Ley</w:t>
      </w:r>
      <w:r w:rsidR="00C20DA9">
        <w:t xml:space="preserve"> de Casinos</w:t>
      </w:r>
      <w:r w:rsidRPr="00B1576D">
        <w:t xml:space="preserve">, el Reglamento y las presentes </w:t>
      </w:r>
      <w:r w:rsidR="0037514C">
        <w:t>B</w:t>
      </w:r>
      <w:r w:rsidRPr="00B1576D">
        <w:t>ases, se procederá al cobro de las mismas.</w:t>
      </w:r>
      <w:r w:rsidR="001F0A90">
        <w:t xml:space="preserve"> </w:t>
      </w:r>
      <w:r w:rsidR="00C20DA9" w:rsidRPr="00C20DA9">
        <w:t>De hacerse efectiva</w:t>
      </w:r>
      <w:r w:rsidR="001F0A90">
        <w:t xml:space="preserve"> alguna de estas garantías</w:t>
      </w:r>
      <w:r w:rsidR="00C20DA9" w:rsidRPr="00C20DA9">
        <w:t>, los recursos ingresarán al Servicio de Tesorerías para ser puestos a disposición de la Municipalidad respectiva.</w:t>
      </w:r>
    </w:p>
    <w:p w14:paraId="615AB0F0" w14:textId="7F723DF7" w:rsidR="008A2ED0" w:rsidRPr="00B1576D" w:rsidRDefault="008A2ED0" w:rsidP="006A7A0E"/>
    <w:p w14:paraId="6F42E285" w14:textId="3DBB0EA5" w:rsidR="008A2ED0" w:rsidRPr="00B1576D" w:rsidRDefault="00C20DA9" w:rsidP="006A7A0E">
      <w:r>
        <w:t>E</w:t>
      </w:r>
      <w:r w:rsidR="008A2ED0" w:rsidRPr="00B1576D">
        <w:t>n virtud del in</w:t>
      </w:r>
      <w:r w:rsidR="00272B93" w:rsidRPr="00B1576D">
        <w:t>ciso final del artículo 46 del R</w:t>
      </w:r>
      <w:r w:rsidR="008A2ED0" w:rsidRPr="00B1576D">
        <w:t xml:space="preserve">eglamento, las garantías se harán efectivas por sus respectivos montos, cualquiera sea el motivo del incumplimiento de las obligaciones que resguardan, incluyendo la renuncia y cualquiera que implique el término anticipado del permiso de operación. Respecto de la caución de la </w:t>
      </w:r>
      <w:r w:rsidRPr="00C20DA9">
        <w:t>letra d) del artículo 12 e inciso 2º del artículo 46 del Reglamento</w:t>
      </w:r>
      <w:r w:rsidR="008A2ED0" w:rsidRPr="00B1576D">
        <w:t>, la Superintendencia determinará, de acuerdo al incumplimiento que da lugar al cobro, el monto que corresponderá pasar al servicio de Tesorerías, restituyendo, de ser procedente, el exceso a</w:t>
      </w:r>
      <w:r w:rsidR="005E2D66" w:rsidRPr="00B1576D">
        <w:t xml:space="preserve"> la</w:t>
      </w:r>
      <w:r w:rsidR="008A2ED0" w:rsidRPr="00B1576D">
        <w:t xml:space="preserve"> sociedad</w:t>
      </w:r>
      <w:r>
        <w:t xml:space="preserve"> operadora</w:t>
      </w:r>
      <w:r w:rsidR="00946400">
        <w:t>.</w:t>
      </w:r>
    </w:p>
    <w:p w14:paraId="73F8F868" w14:textId="77777777" w:rsidR="007A5AF7" w:rsidRPr="00B1576D" w:rsidRDefault="007A5AF7" w:rsidP="006A7A0E"/>
    <w:p w14:paraId="315EA3CB" w14:textId="77777777" w:rsidR="00311CFA" w:rsidRDefault="00311CFA" w:rsidP="006A7A0E">
      <w:pPr>
        <w:rPr>
          <w:snapToGrid w:val="0"/>
          <w:sz w:val="28"/>
        </w:rPr>
      </w:pPr>
      <w:bookmarkStart w:id="114" w:name="_Toc442467115"/>
      <w:bookmarkStart w:id="115" w:name="_Toc444101166"/>
      <w:r>
        <w:br w:type="page"/>
      </w:r>
    </w:p>
    <w:p w14:paraId="16BE7FE3" w14:textId="77777777" w:rsidR="00C97028" w:rsidRPr="00B1576D" w:rsidRDefault="00675AC0" w:rsidP="006A7A0E">
      <w:pPr>
        <w:pStyle w:val="Ttulo1"/>
      </w:pPr>
      <w:bookmarkStart w:id="116" w:name="_Toc447792014"/>
      <w:bookmarkStart w:id="117" w:name="_Toc448326273"/>
      <w:r w:rsidRPr="00B1576D">
        <w:lastRenderedPageBreak/>
        <w:t xml:space="preserve">DE LOS </w:t>
      </w:r>
      <w:r w:rsidR="00C97028" w:rsidRPr="00B1576D">
        <w:t>RECURSOS.</w:t>
      </w:r>
      <w:bookmarkEnd w:id="114"/>
      <w:bookmarkEnd w:id="115"/>
      <w:bookmarkEnd w:id="116"/>
      <w:bookmarkEnd w:id="117"/>
      <w:r w:rsidRPr="00B1576D">
        <w:t xml:space="preserve"> </w:t>
      </w:r>
    </w:p>
    <w:p w14:paraId="1F132DDE" w14:textId="53B0DCC2" w:rsidR="00DA62F5" w:rsidRPr="001F0A90" w:rsidRDefault="00C97028" w:rsidP="001F0A90">
      <w:pPr>
        <w:pStyle w:val="NormalWeb"/>
        <w:rPr>
          <w:lang w:val="es-ES"/>
        </w:rPr>
      </w:pPr>
      <w:r w:rsidRPr="00B1576D">
        <w:rPr>
          <w:lang w:val="es-ES"/>
        </w:rPr>
        <w:t xml:space="preserve">En contra de las resoluciones de evaluación y otorgamiento, denegación o renovación de los permisos de operación, se podrá interponer el recurso de reposición contemplado en el artículo 10 de la Ley Nº18.575, orgánica constitucional de Bases Generales de la Administración del Estado, cuyo texto refundido, coordinado y sistematizado fue fijado por el </w:t>
      </w:r>
      <w:r w:rsidR="00A742CA" w:rsidRPr="00B1576D">
        <w:rPr>
          <w:lang w:val="es-ES"/>
        </w:rPr>
        <w:t>DF</w:t>
      </w:r>
      <w:r w:rsidRPr="00B1576D">
        <w:rPr>
          <w:lang w:val="es-ES"/>
        </w:rPr>
        <w:t>L Nº</w:t>
      </w:r>
      <w:r w:rsidR="00A742CA" w:rsidRPr="00B1576D">
        <w:rPr>
          <w:lang w:val="es-ES"/>
        </w:rPr>
        <w:t xml:space="preserve"> </w:t>
      </w:r>
      <w:r w:rsidRPr="00B1576D">
        <w:rPr>
          <w:lang w:val="es-ES"/>
        </w:rPr>
        <w:t>1, de 2000, del Ministerio Secretaría General de la Presidencia, en el plazo de cinco días hábiles contado desde el día siguiente a la notificación de la respectiva resolución. La Superintendencia dispondrá de diez días hábiles para resolver</w:t>
      </w:r>
      <w:r w:rsidR="00C20DA9">
        <w:rPr>
          <w:lang w:val="es-ES"/>
        </w:rPr>
        <w:t xml:space="preserve"> así como </w:t>
      </w:r>
      <w:r w:rsidR="00C20DA9" w:rsidRPr="00C20DA9">
        <w:t xml:space="preserve"> </w:t>
      </w:r>
      <w:r w:rsidR="00C20DA9" w:rsidRPr="00C20DA9">
        <w:rPr>
          <w:lang w:val="es-ES"/>
        </w:rPr>
        <w:t>los recursos administrativos y demás reclamaciones establecidos en el artículo 27 bis de la Ley de Casino</w:t>
      </w:r>
      <w:r w:rsidR="00C20DA9">
        <w:rPr>
          <w:lang w:val="es-ES"/>
        </w:rPr>
        <w:t>s</w:t>
      </w:r>
      <w:r w:rsidR="001F0A90">
        <w:rPr>
          <w:lang w:val="es-ES"/>
        </w:rPr>
        <w:t>.</w:t>
      </w:r>
    </w:p>
    <w:p w14:paraId="3DD35ED6" w14:textId="77777777" w:rsidR="00DA62F5" w:rsidRPr="00B1576D" w:rsidRDefault="00DA62F5" w:rsidP="006A7A0E"/>
    <w:p w14:paraId="0DF4198C" w14:textId="77777777" w:rsidR="00946400" w:rsidRDefault="00946400">
      <w:pPr>
        <w:widowControl/>
        <w:spacing w:after="0"/>
        <w:ind w:left="0"/>
        <w:jc w:val="left"/>
        <w:rPr>
          <w:b/>
          <w:caps/>
          <w:snapToGrid w:val="0"/>
          <w:sz w:val="28"/>
        </w:rPr>
      </w:pPr>
      <w:bookmarkStart w:id="118" w:name="_ANEXO_1"/>
      <w:bookmarkStart w:id="119" w:name="_Toc447792015"/>
      <w:bookmarkStart w:id="120" w:name="_Toc118265726"/>
      <w:bookmarkStart w:id="121" w:name="_Toc119321723"/>
      <w:bookmarkStart w:id="122" w:name="_Toc119321868"/>
      <w:bookmarkStart w:id="123" w:name="_Toc119321924"/>
      <w:bookmarkStart w:id="124" w:name="_Toc119321990"/>
      <w:bookmarkStart w:id="125" w:name="_Toc119322034"/>
      <w:bookmarkStart w:id="126" w:name="_Toc119322078"/>
      <w:bookmarkStart w:id="127" w:name="_Toc119322133"/>
      <w:bookmarkStart w:id="128" w:name="_Toc119322210"/>
      <w:bookmarkStart w:id="129" w:name="_Toc119322250"/>
      <w:bookmarkStart w:id="130" w:name="_Toc119820836"/>
      <w:bookmarkStart w:id="131" w:name="_Toc119820958"/>
      <w:bookmarkStart w:id="132" w:name="_Toc418513555"/>
      <w:bookmarkStart w:id="133" w:name="_Toc418785783"/>
      <w:bookmarkStart w:id="134" w:name="_Toc428795657"/>
      <w:bookmarkStart w:id="135" w:name="_Toc427761236"/>
      <w:bookmarkStart w:id="136" w:name="_Toc428797659"/>
      <w:bookmarkStart w:id="137" w:name="_Toc442467116"/>
      <w:bookmarkStart w:id="138" w:name="_Toc444101167"/>
      <w:bookmarkEnd w:id="118"/>
      <w:r>
        <w:br w:type="page"/>
      </w:r>
    </w:p>
    <w:p w14:paraId="70EA12A1" w14:textId="4C2DA3DC" w:rsidR="00DB7913" w:rsidRPr="00DB7913" w:rsidRDefault="00DB7913" w:rsidP="006A7A0E">
      <w:pPr>
        <w:pStyle w:val="Ttulo1"/>
      </w:pPr>
      <w:bookmarkStart w:id="139" w:name="_Toc448326274"/>
      <w:r w:rsidRPr="00DB7913">
        <w:lastRenderedPageBreak/>
        <w:t>Anexos</w:t>
      </w:r>
      <w:bookmarkEnd w:id="119"/>
      <w:bookmarkEnd w:id="139"/>
    </w:p>
    <w:p w14:paraId="5ED990FD" w14:textId="77777777" w:rsidR="00DA62F5" w:rsidRPr="00B1576D" w:rsidRDefault="00F32165" w:rsidP="00946400">
      <w:pPr>
        <w:pStyle w:val="Ttulo2"/>
      </w:pPr>
      <w:bookmarkStart w:id="140" w:name="_Toc447792016"/>
      <w:bookmarkStart w:id="141" w:name="_Toc448326275"/>
      <w:r>
        <w:t>Anexo</w:t>
      </w:r>
      <w:r w:rsidR="00DA62F5" w:rsidRPr="00B1576D">
        <w:t xml:space="preserve"> 1</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 Metodología de Evaluación Técnica</w:t>
      </w:r>
      <w:bookmarkEnd w:id="140"/>
      <w:bookmarkEnd w:id="141"/>
    </w:p>
    <w:p w14:paraId="5B9C2654" w14:textId="0045E271" w:rsidR="00DA62F5" w:rsidRDefault="0037514C" w:rsidP="006A7A0E">
      <w:r w:rsidRPr="0037514C">
        <w:t xml:space="preserve">Metodología de </w:t>
      </w:r>
      <w:r w:rsidR="00DB7913">
        <w:t>E</w:t>
      </w:r>
      <w:r w:rsidRPr="0037514C">
        <w:t xml:space="preserve">valuación </w:t>
      </w:r>
      <w:r w:rsidR="00DB7913">
        <w:t>T</w:t>
      </w:r>
      <w:r w:rsidRPr="0037514C">
        <w:t>écnica</w:t>
      </w:r>
      <w:r w:rsidR="00F55D84">
        <w:t xml:space="preserve"> (documento aparte)</w:t>
      </w:r>
    </w:p>
    <w:p w14:paraId="10775E5A" w14:textId="77777777" w:rsidR="00DB7913" w:rsidRDefault="00DB7913" w:rsidP="00946400">
      <w:pPr>
        <w:pStyle w:val="Ttulo2"/>
      </w:pPr>
      <w:bookmarkStart w:id="142" w:name="_Toc447792017"/>
      <w:bookmarkStart w:id="143" w:name="_Toc448326276"/>
      <w:r>
        <w:t>Anexo 2</w:t>
      </w:r>
      <w:r w:rsidR="00F32165">
        <w:t>: Manual de usuario del Sistema Informático de Postulación a un Permiso de Operaciòn (SOPO-SCJ)</w:t>
      </w:r>
      <w:bookmarkEnd w:id="142"/>
      <w:bookmarkEnd w:id="143"/>
    </w:p>
    <w:p w14:paraId="4E6B6382" w14:textId="77777777" w:rsidR="00DB7913" w:rsidRDefault="00DB7913" w:rsidP="006A7A0E">
      <w:r>
        <w:t>Manual de Usuario del Sistema Informático de Postulación a un permiso de operación SOPO-SCJ</w:t>
      </w:r>
    </w:p>
    <w:p w14:paraId="08D550A4" w14:textId="77777777" w:rsidR="00DB7913" w:rsidRDefault="00DB7913" w:rsidP="00946400">
      <w:pPr>
        <w:pStyle w:val="Ttulo2"/>
      </w:pPr>
      <w:bookmarkStart w:id="144" w:name="_Toc447792018"/>
      <w:bookmarkStart w:id="145" w:name="_Toc448326277"/>
      <w:r>
        <w:t>Anexo 3</w:t>
      </w:r>
      <w:r w:rsidR="00B6707C">
        <w:t>: Decalaraciones Juradas</w:t>
      </w:r>
      <w:bookmarkEnd w:id="144"/>
      <w:bookmarkEnd w:id="145"/>
    </w:p>
    <w:p w14:paraId="7A8351F5" w14:textId="7FD99D3A" w:rsidR="00DB7913" w:rsidRDefault="00DB7913" w:rsidP="006A7A0E">
      <w:r>
        <w:t>Declaraciones Juradas</w:t>
      </w:r>
      <w:r w:rsidR="00FB367F">
        <w:t xml:space="preserve"> (documento aparte)</w:t>
      </w:r>
    </w:p>
    <w:p w14:paraId="1AEC0E8E" w14:textId="77777777" w:rsidR="00B6707C" w:rsidRDefault="00B6707C" w:rsidP="00946400">
      <w:pPr>
        <w:pStyle w:val="Ttulo2"/>
      </w:pPr>
      <w:bookmarkStart w:id="146" w:name="_Toc447792019"/>
      <w:bookmarkStart w:id="147" w:name="_Toc448326278"/>
      <w:r>
        <w:t>Anexo 4: Oferta Económica</w:t>
      </w:r>
      <w:bookmarkEnd w:id="146"/>
      <w:bookmarkEnd w:id="147"/>
    </w:p>
    <w:p w14:paraId="6CF71C73" w14:textId="68DCF616" w:rsidR="00B6707C" w:rsidRPr="00B1576D" w:rsidRDefault="00B6707C" w:rsidP="006A7A0E">
      <w:r>
        <w:t>Formato Oferta Económica</w:t>
      </w:r>
      <w:r w:rsidR="00FB367F">
        <w:t xml:space="preserve"> (documento aparte)</w:t>
      </w:r>
    </w:p>
    <w:p w14:paraId="13809112" w14:textId="77777777" w:rsidR="00F55D84" w:rsidRPr="00B1576D" w:rsidRDefault="0042525F" w:rsidP="007032EC">
      <w:pPr>
        <w:ind w:left="0"/>
      </w:pPr>
      <w:bookmarkStart w:id="148" w:name="_Toc418513557"/>
      <w:bookmarkStart w:id="149" w:name="_Toc418785785"/>
      <w:r w:rsidRPr="00B1576D">
        <w:br w:type="page"/>
      </w:r>
    </w:p>
    <w:p w14:paraId="5F0B50D3" w14:textId="512F0285" w:rsidR="00C85781" w:rsidRPr="00B1576D" w:rsidRDefault="00C85781" w:rsidP="006A7A0E"/>
    <w:bookmarkEnd w:id="148"/>
    <w:bookmarkEnd w:id="149"/>
    <w:p w14:paraId="5028A1F7" w14:textId="77777777" w:rsidR="000775BE" w:rsidRPr="00B1576D" w:rsidRDefault="000775BE" w:rsidP="006A7A0E"/>
    <w:p w14:paraId="41DA6F7A" w14:textId="77777777" w:rsidR="00857F0A" w:rsidRPr="00B1576D" w:rsidRDefault="00857F0A" w:rsidP="006A7A0E">
      <w:r w:rsidRPr="00B1576D">
        <w:t xml:space="preserve">2°. </w:t>
      </w:r>
      <w:r w:rsidR="00483501" w:rsidRPr="00B1576D">
        <w:t xml:space="preserve">Publíquese </w:t>
      </w:r>
      <w:r w:rsidR="002176BF" w:rsidRPr="00B1576D">
        <w:t xml:space="preserve">las referidas </w:t>
      </w:r>
      <w:r w:rsidR="0037514C">
        <w:t>B</w:t>
      </w:r>
      <w:r w:rsidR="002176BF" w:rsidRPr="00B1576D">
        <w:t xml:space="preserve">ases </w:t>
      </w:r>
      <w:r w:rsidR="0037514C">
        <w:t>T</w:t>
      </w:r>
      <w:r w:rsidR="002176BF" w:rsidRPr="00B1576D">
        <w:t>écnicas</w:t>
      </w:r>
      <w:r w:rsidR="0037514C">
        <w:t xml:space="preserve"> para el otorgamiento del permiso de operación de un Casino de Juego en la comuna de </w:t>
      </w:r>
      <w:r w:rsidR="0037514C" w:rsidRPr="0037514C">
        <w:rPr>
          <w:highlight w:val="yellow"/>
        </w:rPr>
        <w:t>XXXX</w:t>
      </w:r>
      <w:r w:rsidR="002176BF" w:rsidRPr="00B1576D">
        <w:t xml:space="preserve"> en el sitio web de esta Superintendencia, </w:t>
      </w:r>
      <w:hyperlink r:id="rId24" w:history="1">
        <w:r w:rsidR="0037419A" w:rsidRPr="00B1576D">
          <w:rPr>
            <w:rStyle w:val="Hipervnculo"/>
          </w:rPr>
          <w:t>www.scj.gob.cl</w:t>
        </w:r>
      </w:hyperlink>
      <w:r w:rsidR="00DE61A1" w:rsidRPr="00B1576D">
        <w:t xml:space="preserve"> y pónganse a disposición de los interesados en la Oficina de Partes de este Organismo, ubicadas en calle Morandé N° </w:t>
      </w:r>
      <w:r w:rsidR="0037514C">
        <w:t>360</w:t>
      </w:r>
      <w:r w:rsidR="00DE61A1" w:rsidRPr="00B1576D">
        <w:t xml:space="preserve">, </w:t>
      </w:r>
      <w:r w:rsidR="0037514C">
        <w:t>piso 11</w:t>
      </w:r>
      <w:r w:rsidR="002176BF" w:rsidRPr="00B1576D">
        <w:t xml:space="preserve">, a partir de la fecha que para esos efectos se establezca en la resolución </w:t>
      </w:r>
      <w:r w:rsidR="00DE61A1" w:rsidRPr="00B1576D">
        <w:t xml:space="preserve">de apertura mediante la cual se declarará formalmente abierto el proceso de otorgamiento de permiso de operación para un casino de juego en la comuna de </w:t>
      </w:r>
      <w:r w:rsidR="00DE61A1" w:rsidRPr="0037514C">
        <w:rPr>
          <w:highlight w:val="yellow"/>
        </w:rPr>
        <w:t>XXXXX</w:t>
      </w:r>
      <w:r w:rsidR="00DE61A1" w:rsidRPr="00B1576D">
        <w:t>, la que será publicada, en extracto, en el Diario Oficial, e íntegra en un diario de circulación nacional</w:t>
      </w:r>
      <w:r w:rsidR="002176BF" w:rsidRPr="00B1576D">
        <w:t>.</w:t>
      </w:r>
    </w:p>
    <w:p w14:paraId="73F360A0" w14:textId="77777777" w:rsidR="00857F0A" w:rsidRPr="00B1576D" w:rsidRDefault="00857F0A" w:rsidP="006A7A0E"/>
    <w:p w14:paraId="5ACEDB00" w14:textId="77777777" w:rsidR="00857F0A" w:rsidRPr="00B1576D" w:rsidRDefault="00857F0A" w:rsidP="006A7A0E"/>
    <w:p w14:paraId="4CB47906" w14:textId="77777777" w:rsidR="00857F0A" w:rsidRPr="00B1576D" w:rsidRDefault="00857F0A" w:rsidP="006A7A0E"/>
    <w:p w14:paraId="4293B5D8" w14:textId="77777777" w:rsidR="00857F0A" w:rsidRPr="00B1576D" w:rsidRDefault="00857F0A" w:rsidP="006A7A0E"/>
    <w:p w14:paraId="37B3F111" w14:textId="77777777" w:rsidR="00857F0A" w:rsidRPr="00B1576D" w:rsidRDefault="00857F0A" w:rsidP="006A7A0E"/>
    <w:p w14:paraId="0D33EB9A" w14:textId="77777777" w:rsidR="00857F0A" w:rsidRPr="00B1576D" w:rsidRDefault="00857F0A" w:rsidP="006A7A0E"/>
    <w:p w14:paraId="1BE21EEE" w14:textId="77777777" w:rsidR="00857F0A" w:rsidRPr="00B1576D" w:rsidRDefault="00857F0A" w:rsidP="006A7A0E">
      <w:r w:rsidRPr="00B1576D">
        <w:t>Anótese, Comuníquese, y Archívese</w:t>
      </w:r>
    </w:p>
    <w:p w14:paraId="4CC95BD7" w14:textId="77777777" w:rsidR="00857F0A" w:rsidRPr="00B1576D" w:rsidRDefault="00857F0A" w:rsidP="006A7A0E"/>
    <w:p w14:paraId="63D5169A" w14:textId="77777777" w:rsidR="00857F0A" w:rsidRPr="00B1576D" w:rsidRDefault="00857F0A" w:rsidP="006A7A0E"/>
    <w:p w14:paraId="00D10770" w14:textId="77777777" w:rsidR="002937A8" w:rsidRPr="00B1576D" w:rsidRDefault="002937A8" w:rsidP="006A7A0E"/>
    <w:p w14:paraId="6E16FFF8" w14:textId="77777777" w:rsidR="002937A8" w:rsidRPr="00B1576D" w:rsidRDefault="002937A8" w:rsidP="006A7A0E"/>
    <w:p w14:paraId="0366B45A" w14:textId="77777777" w:rsidR="002937A8" w:rsidRPr="00B1576D" w:rsidRDefault="00DB651D" w:rsidP="006A7A0E">
      <w:r w:rsidRPr="00B1576D">
        <w:t>DANIEL GARCÍA FERNANDEZ</w:t>
      </w:r>
    </w:p>
    <w:p w14:paraId="162184E3" w14:textId="0D5FDFB9" w:rsidR="002937A8" w:rsidRPr="00B1576D" w:rsidRDefault="002937A8" w:rsidP="006A7A0E">
      <w:r w:rsidRPr="00B1576D">
        <w:t>SUPERINTENDENTE DE CASINOS DE JUEGO</w:t>
      </w:r>
      <w:r w:rsidR="00DB651D" w:rsidRPr="00B1576D">
        <w:t xml:space="preserve"> (</w:t>
      </w:r>
      <w:r w:rsidR="00F55D84">
        <w:t>TyP</w:t>
      </w:r>
      <w:r w:rsidR="00DB651D" w:rsidRPr="00B1576D">
        <w:t>)</w:t>
      </w:r>
    </w:p>
    <w:p w14:paraId="1EF3C80B" w14:textId="77777777" w:rsidR="00857F0A" w:rsidRPr="00B1576D" w:rsidRDefault="00857F0A" w:rsidP="006A7A0E"/>
    <w:p w14:paraId="094DFDBB" w14:textId="77777777" w:rsidR="00857F0A" w:rsidRPr="00B1576D" w:rsidRDefault="00857F0A" w:rsidP="006A7A0E"/>
    <w:p w14:paraId="100B9719" w14:textId="77777777" w:rsidR="00857F0A" w:rsidRPr="00B1576D" w:rsidRDefault="00857F0A" w:rsidP="006A7A0E"/>
    <w:p w14:paraId="27B05B59" w14:textId="77777777" w:rsidR="00857F0A" w:rsidRPr="00B1576D" w:rsidRDefault="00C86F78" w:rsidP="006A7A0E">
      <w:r w:rsidRPr="00B1576D">
        <w:t xml:space="preserve">    </w:t>
      </w:r>
    </w:p>
    <w:sectPr w:rsidR="00857F0A" w:rsidRPr="00B1576D" w:rsidSect="00EC78BC">
      <w:headerReference w:type="default" r:id="rId25"/>
      <w:footerReference w:type="even" r:id="rId26"/>
      <w:footerReference w:type="default" r:id="rId27"/>
      <w:footerReference w:type="first" r:id="rId28"/>
      <w:pgSz w:w="12242" w:h="20163" w:code="5"/>
      <w:pgMar w:top="1361" w:right="1418" w:bottom="2268" w:left="1418" w:header="448" w:footer="1539" w:gutter="0"/>
      <w:paperSrc w:first="258" w:other="258"/>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FA2086" w14:textId="77777777" w:rsidR="007032EC" w:rsidRDefault="007032EC" w:rsidP="006A7A0E">
      <w:r>
        <w:separator/>
      </w:r>
    </w:p>
    <w:p w14:paraId="22BEB3FC" w14:textId="77777777" w:rsidR="007032EC" w:rsidRDefault="007032EC" w:rsidP="006A7A0E"/>
  </w:endnote>
  <w:endnote w:type="continuationSeparator" w:id="0">
    <w:p w14:paraId="1C6F5581" w14:textId="77777777" w:rsidR="007032EC" w:rsidRDefault="007032EC" w:rsidP="006A7A0E">
      <w:r>
        <w:continuationSeparator/>
      </w:r>
    </w:p>
    <w:p w14:paraId="762FFB78" w14:textId="77777777" w:rsidR="007032EC" w:rsidRDefault="007032EC" w:rsidP="006A7A0E"/>
  </w:endnote>
  <w:endnote w:type="continuationNotice" w:id="1">
    <w:p w14:paraId="0A3116BA" w14:textId="77777777" w:rsidR="007032EC" w:rsidRDefault="007032EC" w:rsidP="006A7A0E"/>
    <w:p w14:paraId="1841935F" w14:textId="77777777" w:rsidR="007032EC" w:rsidRDefault="007032EC" w:rsidP="006A7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3"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65390" w14:textId="77777777" w:rsidR="007032EC" w:rsidRDefault="007032EC" w:rsidP="006A7A0E">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629095C0" w14:textId="77777777" w:rsidR="007032EC" w:rsidRDefault="007032EC" w:rsidP="006A7A0E">
    <w:pPr>
      <w:pStyle w:val="Piedepgina"/>
    </w:pPr>
  </w:p>
  <w:p w14:paraId="5FCDC9CE" w14:textId="77777777" w:rsidR="007032EC" w:rsidRDefault="007032EC" w:rsidP="006A7A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AC22E" w14:textId="77777777" w:rsidR="007032EC" w:rsidRDefault="007032EC" w:rsidP="00EC78BC">
    <w:pPr>
      <w:pStyle w:val="Piedepgina"/>
      <w:rPr>
        <w:rStyle w:val="Nmerodepgina"/>
      </w:rPr>
    </w:pPr>
  </w:p>
  <w:p w14:paraId="34A44310" w14:textId="77777777" w:rsidR="007032EC" w:rsidRDefault="007032EC" w:rsidP="00EC78BC">
    <w:pPr>
      <w:pStyle w:val="Piedepgina"/>
      <w:rPr>
        <w:rStyle w:val="Nmerodepgina"/>
      </w:rPr>
    </w:pPr>
  </w:p>
  <w:p w14:paraId="2F0A4A4B" w14:textId="35D7E55E" w:rsidR="007032EC" w:rsidRDefault="007032EC" w:rsidP="00EC78BC">
    <w:pPr>
      <w:pStyle w:val="Piedepgina"/>
    </w:pPr>
    <w:r>
      <w:rPr>
        <w:rStyle w:val="Nmerodepgina"/>
      </w:rPr>
      <w:fldChar w:fldCharType="begin"/>
    </w:r>
    <w:r>
      <w:rPr>
        <w:rStyle w:val="Nmerodepgina"/>
      </w:rPr>
      <w:instrText xml:space="preserve">PAGE  </w:instrText>
    </w:r>
    <w:r>
      <w:rPr>
        <w:rStyle w:val="Nmerodepgina"/>
      </w:rPr>
      <w:fldChar w:fldCharType="separate"/>
    </w:r>
    <w:r w:rsidR="00D066F4">
      <w:rPr>
        <w:rStyle w:val="Nmerodepgina"/>
        <w:noProof/>
      </w:rPr>
      <w:t>27</w:t>
    </w:r>
    <w:r>
      <w:rPr>
        <w:rStyle w:val="Nmerodepgina"/>
      </w:rPr>
      <w:fldChar w:fldCharType="end"/>
    </w:r>
    <w:r>
      <w:rPr>
        <w:rStyle w:val="Nmerodepgina"/>
      </w:rPr>
      <w:tab/>
    </w:r>
    <w:r>
      <w:rPr>
        <w:rStyle w:val="Nmerodepgina"/>
      </w:rPr>
      <w:tab/>
    </w:r>
    <w:r w:rsidRPr="001833CE">
      <w:rPr>
        <w:sz w:val="16"/>
        <w:lang w:val="es-ES"/>
      </w:rPr>
      <w:t>Borrador para consulta pública</w:t>
    </w:r>
    <w:r>
      <w:rPr>
        <w:sz w:val="16"/>
        <w:lang w:val="es-ES"/>
      </w:rPr>
      <w:t xml:space="preserve"> – SCJ – 14-04-2016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2D9B6" w14:textId="10614A02" w:rsidR="007032EC" w:rsidRPr="001833CE" w:rsidRDefault="007032EC" w:rsidP="001833CE">
    <w:pPr>
      <w:pStyle w:val="Piedepgina"/>
      <w:jc w:val="right"/>
      <w:rPr>
        <w:sz w:val="16"/>
        <w:lang w:val="es-ES"/>
      </w:rPr>
    </w:pPr>
    <w:r w:rsidRPr="001833CE">
      <w:rPr>
        <w:sz w:val="16"/>
        <w:lang w:val="es-ES"/>
      </w:rPr>
      <w:t>Borrador para consulta pública</w:t>
    </w:r>
    <w:r>
      <w:rPr>
        <w:sz w:val="16"/>
        <w:lang w:val="es-ES"/>
      </w:rPr>
      <w:t xml:space="preserve"> – SCJ – 14-04-2016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833FB" w14:textId="77777777" w:rsidR="007032EC" w:rsidRDefault="007032EC" w:rsidP="006A7A0E">
      <w:r>
        <w:separator/>
      </w:r>
    </w:p>
    <w:p w14:paraId="4C3F22F6" w14:textId="77777777" w:rsidR="007032EC" w:rsidRDefault="007032EC" w:rsidP="006A7A0E"/>
  </w:footnote>
  <w:footnote w:type="continuationSeparator" w:id="0">
    <w:p w14:paraId="36E859AF" w14:textId="77777777" w:rsidR="007032EC" w:rsidRDefault="007032EC" w:rsidP="006A7A0E">
      <w:r>
        <w:continuationSeparator/>
      </w:r>
    </w:p>
    <w:p w14:paraId="0AC555AF" w14:textId="77777777" w:rsidR="007032EC" w:rsidRDefault="007032EC" w:rsidP="006A7A0E"/>
  </w:footnote>
  <w:footnote w:type="continuationNotice" w:id="1">
    <w:p w14:paraId="513C616F" w14:textId="77777777" w:rsidR="007032EC" w:rsidRDefault="007032EC" w:rsidP="006A7A0E"/>
    <w:p w14:paraId="1472C2FB" w14:textId="77777777" w:rsidR="007032EC" w:rsidRDefault="007032EC" w:rsidP="006A7A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7B555" w14:textId="15C53B1B" w:rsidR="007032EC" w:rsidRDefault="007032EC" w:rsidP="006A7A0E">
    <w:pPr>
      <w:pStyle w:val="Encabezado"/>
      <w:rPr>
        <w:rFonts w:ascii="Book Antiqua" w:hAnsi="Book Antiqua"/>
      </w:rPr>
    </w:pPr>
    <w:sdt>
      <w:sdtPr>
        <w:rPr>
          <w:rFonts w:ascii="Book Antiqua" w:hAnsi="Book Antiqua"/>
        </w:rPr>
        <w:id w:val="810284276"/>
        <w:docPartObj>
          <w:docPartGallery w:val="Watermarks"/>
          <w:docPartUnique/>
        </w:docPartObj>
      </w:sdtPr>
      <w:sdtContent>
        <w:r>
          <w:rPr>
            <w:rFonts w:ascii="Book Antiqua" w:hAnsi="Book Antiqua"/>
          </w:rPr>
          <w:pict w14:anchorId="49FF38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5553064" o:spid="_x0000_s2049" type="#_x0000_t136" style="position:absolute;left:0;text-align:left;margin-left:0;margin-top:0;width:674.25pt;height:176.25pt;rotation:315;z-index:-251658752;mso-position-horizontal:center;mso-position-horizontal-relative:margin;mso-position-vertical:center;mso-position-vertical-relative:margin" o:allowincell="f" fillcolor="#404040 [2429]" stroked="f">
              <v:fill opacity=".5"/>
              <v:textpath style="font-family:&quot;calibri&quot;;font-size:2in" string="BORRADOR"/>
              <w10:wrap anchorx="margin" anchory="margin"/>
            </v:shape>
          </w:pict>
        </w:r>
      </w:sdtContent>
    </w:sdt>
    <w:r>
      <w:rPr>
        <w:noProof/>
        <w:lang w:val="es-CL" w:eastAsia="es-CL"/>
      </w:rPr>
      <w:drawing>
        <wp:inline distT="0" distB="0" distL="0" distR="0" wp14:anchorId="62891345" wp14:editId="3FB534FA">
          <wp:extent cx="2573020" cy="690880"/>
          <wp:effectExtent l="0" t="0" r="0" b="0"/>
          <wp:docPr id="25" name="Imagen 25" descr="Logo SC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SCJ.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3020" cy="690880"/>
                  </a:xfrm>
                  <a:prstGeom prst="rect">
                    <a:avLst/>
                  </a:prstGeom>
                  <a:noFill/>
                  <a:ln>
                    <a:noFill/>
                  </a:ln>
                </pic:spPr>
              </pic:pic>
            </a:graphicData>
          </a:graphic>
        </wp:inline>
      </w:drawing>
    </w:r>
  </w:p>
  <w:p w14:paraId="04843B79" w14:textId="77777777" w:rsidR="007032EC" w:rsidRDefault="007032EC" w:rsidP="006A7A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140389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0A9692DE"/>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3503546"/>
    <w:multiLevelType w:val="hybridMultilevel"/>
    <w:tmpl w:val="C64A8968"/>
    <w:lvl w:ilvl="0" w:tplc="580A001B">
      <w:start w:val="1"/>
      <w:numFmt w:val="lowerRoman"/>
      <w:lvlText w:val="%1."/>
      <w:lvlJc w:val="righ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 w15:restartNumberingAfterBreak="0">
    <w:nsid w:val="07FC04F0"/>
    <w:multiLevelType w:val="hybridMultilevel"/>
    <w:tmpl w:val="C64A8968"/>
    <w:lvl w:ilvl="0" w:tplc="580A001B">
      <w:start w:val="1"/>
      <w:numFmt w:val="lowerRoman"/>
      <w:lvlText w:val="%1."/>
      <w:lvlJc w:val="righ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1C9B19AD"/>
    <w:multiLevelType w:val="hybridMultilevel"/>
    <w:tmpl w:val="C054DCD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BA936CC"/>
    <w:multiLevelType w:val="hybridMultilevel"/>
    <w:tmpl w:val="C64A8968"/>
    <w:lvl w:ilvl="0" w:tplc="580A001B">
      <w:start w:val="1"/>
      <w:numFmt w:val="lowerRoman"/>
      <w:lvlText w:val="%1."/>
      <w:lvlJc w:val="righ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 w15:restartNumberingAfterBreak="0">
    <w:nsid w:val="3F667B58"/>
    <w:multiLevelType w:val="hybridMultilevel"/>
    <w:tmpl w:val="C054DCD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41EE0511"/>
    <w:multiLevelType w:val="hybridMultilevel"/>
    <w:tmpl w:val="0A12C4B4"/>
    <w:lvl w:ilvl="0" w:tplc="580A000F">
      <w:start w:val="1"/>
      <w:numFmt w:val="decimal"/>
      <w:lvlText w:val="%1."/>
      <w:lvlJc w:val="left"/>
      <w:pPr>
        <w:ind w:left="2988" w:hanging="360"/>
      </w:pPr>
    </w:lvl>
    <w:lvl w:ilvl="1" w:tplc="580A0019" w:tentative="1">
      <w:start w:val="1"/>
      <w:numFmt w:val="lowerLetter"/>
      <w:lvlText w:val="%2."/>
      <w:lvlJc w:val="left"/>
      <w:pPr>
        <w:ind w:left="3708" w:hanging="360"/>
      </w:pPr>
    </w:lvl>
    <w:lvl w:ilvl="2" w:tplc="580A001B" w:tentative="1">
      <w:start w:val="1"/>
      <w:numFmt w:val="lowerRoman"/>
      <w:lvlText w:val="%3."/>
      <w:lvlJc w:val="right"/>
      <w:pPr>
        <w:ind w:left="4428" w:hanging="180"/>
      </w:pPr>
    </w:lvl>
    <w:lvl w:ilvl="3" w:tplc="580A000F" w:tentative="1">
      <w:start w:val="1"/>
      <w:numFmt w:val="decimal"/>
      <w:lvlText w:val="%4."/>
      <w:lvlJc w:val="left"/>
      <w:pPr>
        <w:ind w:left="5148" w:hanging="360"/>
      </w:pPr>
    </w:lvl>
    <w:lvl w:ilvl="4" w:tplc="580A0019" w:tentative="1">
      <w:start w:val="1"/>
      <w:numFmt w:val="lowerLetter"/>
      <w:lvlText w:val="%5."/>
      <w:lvlJc w:val="left"/>
      <w:pPr>
        <w:ind w:left="5868" w:hanging="360"/>
      </w:pPr>
    </w:lvl>
    <w:lvl w:ilvl="5" w:tplc="580A001B" w:tentative="1">
      <w:start w:val="1"/>
      <w:numFmt w:val="lowerRoman"/>
      <w:lvlText w:val="%6."/>
      <w:lvlJc w:val="right"/>
      <w:pPr>
        <w:ind w:left="6588" w:hanging="180"/>
      </w:pPr>
    </w:lvl>
    <w:lvl w:ilvl="6" w:tplc="580A000F" w:tentative="1">
      <w:start w:val="1"/>
      <w:numFmt w:val="decimal"/>
      <w:lvlText w:val="%7."/>
      <w:lvlJc w:val="left"/>
      <w:pPr>
        <w:ind w:left="7308" w:hanging="360"/>
      </w:pPr>
    </w:lvl>
    <w:lvl w:ilvl="7" w:tplc="580A0019" w:tentative="1">
      <w:start w:val="1"/>
      <w:numFmt w:val="lowerLetter"/>
      <w:lvlText w:val="%8."/>
      <w:lvlJc w:val="left"/>
      <w:pPr>
        <w:ind w:left="8028" w:hanging="360"/>
      </w:pPr>
    </w:lvl>
    <w:lvl w:ilvl="8" w:tplc="580A001B" w:tentative="1">
      <w:start w:val="1"/>
      <w:numFmt w:val="lowerRoman"/>
      <w:lvlText w:val="%9."/>
      <w:lvlJc w:val="right"/>
      <w:pPr>
        <w:ind w:left="8748" w:hanging="180"/>
      </w:pPr>
    </w:lvl>
  </w:abstractNum>
  <w:abstractNum w:abstractNumId="8" w15:restartNumberingAfterBreak="0">
    <w:nsid w:val="445C3C8E"/>
    <w:multiLevelType w:val="multilevel"/>
    <w:tmpl w:val="EDD81F3A"/>
    <w:lvl w:ilvl="0">
      <w:start w:val="1"/>
      <w:numFmt w:val="decimal"/>
      <w:pStyle w:val="Ttulo1"/>
      <w:lvlText w:val="%1."/>
      <w:lvlJc w:val="left"/>
      <w:pPr>
        <w:ind w:left="360" w:hanging="360"/>
      </w:pPr>
    </w:lvl>
    <w:lvl w:ilvl="1">
      <w:start w:val="1"/>
      <w:numFmt w:val="decimal"/>
      <w:pStyle w:val="Ttulo2"/>
      <w:lvlText w:val="%1.%2."/>
      <w:lvlJc w:val="left"/>
      <w:pPr>
        <w:ind w:left="1140" w:hanging="432"/>
      </w:pPr>
      <w:rPr>
        <w:b/>
        <w:sz w:val="24"/>
        <w:szCs w:val="24"/>
      </w:r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DB1470"/>
    <w:multiLevelType w:val="hybridMultilevel"/>
    <w:tmpl w:val="0E6CC950"/>
    <w:lvl w:ilvl="0" w:tplc="7F345C08">
      <w:start w:val="1"/>
      <w:numFmt w:val="lowerLetter"/>
      <w:pStyle w:val="xnormal"/>
      <w:lvlText w:val="%1)"/>
      <w:lvlJc w:val="left"/>
      <w:pPr>
        <w:ind w:left="1080" w:hanging="360"/>
      </w:pPr>
      <w:rPr>
        <w:rFonts w:ascii="Arial" w:hAnsi="Arial" w:cs="Arial" w:hint="default"/>
      </w:r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0" w15:restartNumberingAfterBreak="0">
    <w:nsid w:val="54BE44DA"/>
    <w:multiLevelType w:val="multilevel"/>
    <w:tmpl w:val="5EF085AC"/>
    <w:lvl w:ilvl="0">
      <w:start w:val="1"/>
      <w:numFmt w:val="upperRoman"/>
      <w:pStyle w:val="Subttulo"/>
      <w:lvlText w:val="%1."/>
      <w:lvlJc w:val="left"/>
      <w:pPr>
        <w:tabs>
          <w:tab w:val="num" w:pos="720"/>
        </w:tabs>
        <w:ind w:left="454" w:hanging="454"/>
      </w:pPr>
    </w:lvl>
    <w:lvl w:ilvl="1">
      <w:start w:val="1"/>
      <w:numFmt w:val="upperLetter"/>
      <w:lvlText w:val="%2."/>
      <w:lvlJc w:val="left"/>
      <w:pPr>
        <w:tabs>
          <w:tab w:val="num" w:pos="907"/>
        </w:tabs>
        <w:ind w:left="907" w:hanging="453"/>
      </w:pPr>
    </w:lvl>
    <w:lvl w:ilvl="2">
      <w:start w:val="1"/>
      <w:numFmt w:val="decimal"/>
      <w:lvlText w:val="%3."/>
      <w:lvlJc w:val="left"/>
      <w:pPr>
        <w:tabs>
          <w:tab w:val="num" w:pos="1361"/>
        </w:tabs>
        <w:ind w:left="1361" w:hanging="454"/>
      </w:pPr>
    </w:lvl>
    <w:lvl w:ilvl="3">
      <w:start w:val="1"/>
      <w:numFmt w:val="lowerLetter"/>
      <w:lvlText w:val="%4."/>
      <w:lvlJc w:val="left"/>
      <w:pPr>
        <w:tabs>
          <w:tab w:val="num" w:pos="1814"/>
        </w:tabs>
        <w:ind w:left="1814" w:hanging="453"/>
      </w:pPr>
    </w:lvl>
    <w:lvl w:ilvl="4">
      <w:start w:val="1"/>
      <w:numFmt w:val="decimal"/>
      <w:lvlText w:val="%5)"/>
      <w:lvlJc w:val="left"/>
      <w:pPr>
        <w:tabs>
          <w:tab w:val="num" w:pos="2268"/>
        </w:tabs>
        <w:ind w:left="2268" w:hanging="454"/>
      </w:pPr>
    </w:lvl>
    <w:lvl w:ilvl="5">
      <w:start w:val="1"/>
      <w:numFmt w:val="lowerLetter"/>
      <w:lvlText w:val="%6)"/>
      <w:lvlJc w:val="left"/>
      <w:pPr>
        <w:tabs>
          <w:tab w:val="num" w:pos="2722"/>
        </w:tabs>
        <w:ind w:left="2722" w:hanging="454"/>
      </w:pPr>
    </w:lvl>
    <w:lvl w:ilvl="6">
      <w:start w:val="1"/>
      <w:numFmt w:val="decimal"/>
      <w:lvlText w:val="(%7)"/>
      <w:lvlJc w:val="left"/>
      <w:pPr>
        <w:tabs>
          <w:tab w:val="num" w:pos="3175"/>
        </w:tabs>
        <w:ind w:left="3175" w:hanging="453"/>
      </w:pPr>
    </w:lvl>
    <w:lvl w:ilvl="7">
      <w:start w:val="1"/>
      <w:numFmt w:val="lowerLetter"/>
      <w:lvlText w:val="(%8)"/>
      <w:lvlJc w:val="left"/>
      <w:pPr>
        <w:tabs>
          <w:tab w:val="num" w:pos="3629"/>
        </w:tabs>
        <w:ind w:left="3629" w:hanging="454"/>
      </w:pPr>
    </w:lvl>
    <w:lvl w:ilvl="8">
      <w:start w:val="1"/>
      <w:numFmt w:val="lowerRoman"/>
      <w:lvlText w:val="%9."/>
      <w:lvlJc w:val="left"/>
      <w:pPr>
        <w:tabs>
          <w:tab w:val="num" w:pos="3240"/>
        </w:tabs>
        <w:ind w:left="3240" w:hanging="360"/>
      </w:pPr>
    </w:lvl>
  </w:abstractNum>
  <w:abstractNum w:abstractNumId="11" w15:restartNumberingAfterBreak="0">
    <w:nsid w:val="5C7A6B85"/>
    <w:multiLevelType w:val="hybridMultilevel"/>
    <w:tmpl w:val="1DCA4FD4"/>
    <w:lvl w:ilvl="0" w:tplc="580A0017">
      <w:start w:val="1"/>
      <w:numFmt w:val="lowerLetter"/>
      <w:lvlText w:val="%1)"/>
      <w:lvlJc w:val="lef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0">
    <w:nsid w:val="5D682740"/>
    <w:multiLevelType w:val="hybridMultilevel"/>
    <w:tmpl w:val="F856B664"/>
    <w:lvl w:ilvl="0" w:tplc="953A40F0">
      <w:start w:val="1"/>
      <w:numFmt w:val="decimal"/>
      <w:pStyle w:val="nNormal"/>
      <w:lvlText w:val="%1."/>
      <w:lvlJc w:val="left"/>
      <w:pPr>
        <w:ind w:left="720" w:hanging="360"/>
      </w:pPr>
      <w:rPr>
        <w:rFonts w:ascii="Arial" w:hAnsi="Arial"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5F2B30B2"/>
    <w:multiLevelType w:val="hybridMultilevel"/>
    <w:tmpl w:val="C64A8968"/>
    <w:lvl w:ilvl="0" w:tplc="580A001B">
      <w:start w:val="1"/>
      <w:numFmt w:val="lowerRoman"/>
      <w:lvlText w:val="%1."/>
      <w:lvlJc w:val="righ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61071BC3"/>
    <w:multiLevelType w:val="hybridMultilevel"/>
    <w:tmpl w:val="C64A8968"/>
    <w:lvl w:ilvl="0" w:tplc="580A001B">
      <w:start w:val="1"/>
      <w:numFmt w:val="lowerRoman"/>
      <w:lvlText w:val="%1."/>
      <w:lvlJc w:val="righ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62132E5E"/>
    <w:multiLevelType w:val="hybridMultilevel"/>
    <w:tmpl w:val="C64A8968"/>
    <w:lvl w:ilvl="0" w:tplc="580A001B">
      <w:start w:val="1"/>
      <w:numFmt w:val="lowerRoman"/>
      <w:lvlText w:val="%1."/>
      <w:lvlJc w:val="righ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35332B1"/>
    <w:multiLevelType w:val="hybridMultilevel"/>
    <w:tmpl w:val="C64A8968"/>
    <w:lvl w:ilvl="0" w:tplc="580A001B">
      <w:start w:val="1"/>
      <w:numFmt w:val="lowerRoman"/>
      <w:lvlText w:val="%1."/>
      <w:lvlJc w:val="right"/>
      <w:pPr>
        <w:ind w:left="720" w:hanging="36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70D61EEB"/>
    <w:multiLevelType w:val="hybridMultilevel"/>
    <w:tmpl w:val="C054DCD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 w:numId="3">
    <w:abstractNumId w:val="10"/>
  </w:num>
  <w:num w:numId="4">
    <w:abstractNumId w:val="17"/>
  </w:num>
  <w:num w:numId="5">
    <w:abstractNumId w:val="7"/>
  </w:num>
  <w:num w:numId="6">
    <w:abstractNumId w:val="12"/>
  </w:num>
  <w:num w:numId="7">
    <w:abstractNumId w:val="9"/>
  </w:num>
  <w:num w:numId="8">
    <w:abstractNumId w:val="8"/>
  </w:num>
  <w:num w:numId="9">
    <w:abstractNumId w:val="9"/>
    <w:lvlOverride w:ilvl="0">
      <w:startOverride w:val="1"/>
    </w:lvlOverride>
  </w:num>
  <w:num w:numId="10">
    <w:abstractNumId w:val="4"/>
  </w:num>
  <w:num w:numId="11">
    <w:abstractNumId w:val="6"/>
  </w:num>
  <w:num w:numId="12">
    <w:abstractNumId w:val="9"/>
    <w:lvlOverride w:ilvl="0">
      <w:startOverride w:val="1"/>
    </w:lvlOverride>
  </w:num>
  <w:num w:numId="13">
    <w:abstractNumId w:val="9"/>
    <w:lvlOverride w:ilvl="0">
      <w:startOverride w:val="1"/>
    </w:lvlOverride>
  </w:num>
  <w:num w:numId="14">
    <w:abstractNumId w:val="11"/>
  </w:num>
  <w:num w:numId="15">
    <w:abstractNumId w:val="5"/>
  </w:num>
  <w:num w:numId="16">
    <w:abstractNumId w:val="13"/>
  </w:num>
  <w:num w:numId="17">
    <w:abstractNumId w:val="3"/>
  </w:num>
  <w:num w:numId="18">
    <w:abstractNumId w:val="2"/>
  </w:num>
  <w:num w:numId="19">
    <w:abstractNumId w:val="14"/>
  </w:num>
  <w:num w:numId="20">
    <w:abstractNumId w:val="15"/>
  </w:num>
  <w:num w:numId="21">
    <w:abstractNumId w:val="16"/>
  </w:num>
  <w:num w:numId="22">
    <w:abstractNumId w:val="12"/>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CL" w:vendorID="64" w:dllVersion="131078" w:nlCheck="1" w:checkStyle="1"/>
  <w:activeWritingStyle w:appName="MSWord" w:lang="es-MX" w:vendorID="64" w:dllVersion="131078" w:nlCheck="1" w:checkStyle="1"/>
  <w:activeWritingStyle w:appName="MSWord" w:lang="es-419"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DCB"/>
    <w:rsid w:val="00000C1F"/>
    <w:rsid w:val="00000E12"/>
    <w:rsid w:val="00001C69"/>
    <w:rsid w:val="00003762"/>
    <w:rsid w:val="0000442C"/>
    <w:rsid w:val="000050D2"/>
    <w:rsid w:val="00011A30"/>
    <w:rsid w:val="000124BC"/>
    <w:rsid w:val="0001378F"/>
    <w:rsid w:val="000149DE"/>
    <w:rsid w:val="00014C65"/>
    <w:rsid w:val="000153DD"/>
    <w:rsid w:val="000160D4"/>
    <w:rsid w:val="00016842"/>
    <w:rsid w:val="00016CF1"/>
    <w:rsid w:val="00016DC6"/>
    <w:rsid w:val="00021E6F"/>
    <w:rsid w:val="000235D9"/>
    <w:rsid w:val="00024F69"/>
    <w:rsid w:val="00025A01"/>
    <w:rsid w:val="00025D50"/>
    <w:rsid w:val="00026F84"/>
    <w:rsid w:val="0002772B"/>
    <w:rsid w:val="00032581"/>
    <w:rsid w:val="00033ABB"/>
    <w:rsid w:val="00033C77"/>
    <w:rsid w:val="000345D6"/>
    <w:rsid w:val="000371AA"/>
    <w:rsid w:val="00037B0A"/>
    <w:rsid w:val="00040232"/>
    <w:rsid w:val="00040D28"/>
    <w:rsid w:val="00041416"/>
    <w:rsid w:val="000445C6"/>
    <w:rsid w:val="00044CEF"/>
    <w:rsid w:val="0004685A"/>
    <w:rsid w:val="00046B99"/>
    <w:rsid w:val="000513DE"/>
    <w:rsid w:val="00057B60"/>
    <w:rsid w:val="00060BF0"/>
    <w:rsid w:val="00061269"/>
    <w:rsid w:val="0006235D"/>
    <w:rsid w:val="0006291E"/>
    <w:rsid w:val="00063278"/>
    <w:rsid w:val="00065F50"/>
    <w:rsid w:val="00067574"/>
    <w:rsid w:val="00067FE3"/>
    <w:rsid w:val="000707F2"/>
    <w:rsid w:val="00071D6F"/>
    <w:rsid w:val="00073343"/>
    <w:rsid w:val="0007342E"/>
    <w:rsid w:val="00073BF3"/>
    <w:rsid w:val="00074494"/>
    <w:rsid w:val="000770C7"/>
    <w:rsid w:val="000775BE"/>
    <w:rsid w:val="000778F6"/>
    <w:rsid w:val="0008043F"/>
    <w:rsid w:val="00081913"/>
    <w:rsid w:val="00081C15"/>
    <w:rsid w:val="0008375E"/>
    <w:rsid w:val="00083D30"/>
    <w:rsid w:val="000840D1"/>
    <w:rsid w:val="00084877"/>
    <w:rsid w:val="000849F6"/>
    <w:rsid w:val="000851D2"/>
    <w:rsid w:val="0008592E"/>
    <w:rsid w:val="00086ECD"/>
    <w:rsid w:val="00087BD7"/>
    <w:rsid w:val="0009039C"/>
    <w:rsid w:val="00090E9D"/>
    <w:rsid w:val="00090EAC"/>
    <w:rsid w:val="0009165C"/>
    <w:rsid w:val="00092331"/>
    <w:rsid w:val="00092D7B"/>
    <w:rsid w:val="00093AC0"/>
    <w:rsid w:val="000956BF"/>
    <w:rsid w:val="00095EF7"/>
    <w:rsid w:val="00096646"/>
    <w:rsid w:val="00097676"/>
    <w:rsid w:val="000A2F8E"/>
    <w:rsid w:val="000A3186"/>
    <w:rsid w:val="000A37E3"/>
    <w:rsid w:val="000A3F84"/>
    <w:rsid w:val="000A436B"/>
    <w:rsid w:val="000A474C"/>
    <w:rsid w:val="000A5CE3"/>
    <w:rsid w:val="000A7127"/>
    <w:rsid w:val="000B122E"/>
    <w:rsid w:val="000B26CB"/>
    <w:rsid w:val="000B29FA"/>
    <w:rsid w:val="000B305B"/>
    <w:rsid w:val="000B4B8D"/>
    <w:rsid w:val="000B58E5"/>
    <w:rsid w:val="000C07C6"/>
    <w:rsid w:val="000C1425"/>
    <w:rsid w:val="000C5413"/>
    <w:rsid w:val="000C5A0B"/>
    <w:rsid w:val="000C624C"/>
    <w:rsid w:val="000C6FD2"/>
    <w:rsid w:val="000D1528"/>
    <w:rsid w:val="000D1A97"/>
    <w:rsid w:val="000D2745"/>
    <w:rsid w:val="000D3757"/>
    <w:rsid w:val="000D3B8A"/>
    <w:rsid w:val="000D625C"/>
    <w:rsid w:val="000D70F9"/>
    <w:rsid w:val="000E03BB"/>
    <w:rsid w:val="000E06CA"/>
    <w:rsid w:val="000E1094"/>
    <w:rsid w:val="000E1403"/>
    <w:rsid w:val="000E34FC"/>
    <w:rsid w:val="000E3749"/>
    <w:rsid w:val="000E3AA8"/>
    <w:rsid w:val="000E4718"/>
    <w:rsid w:val="000E48E4"/>
    <w:rsid w:val="000E52C5"/>
    <w:rsid w:val="000E6C95"/>
    <w:rsid w:val="000E7296"/>
    <w:rsid w:val="000E7E4D"/>
    <w:rsid w:val="000F11AC"/>
    <w:rsid w:val="000F1F8B"/>
    <w:rsid w:val="000F205D"/>
    <w:rsid w:val="000F417A"/>
    <w:rsid w:val="000F4AA6"/>
    <w:rsid w:val="000F6FD5"/>
    <w:rsid w:val="000F7676"/>
    <w:rsid w:val="000F7AE3"/>
    <w:rsid w:val="00100FA2"/>
    <w:rsid w:val="0010198F"/>
    <w:rsid w:val="001025FC"/>
    <w:rsid w:val="00103C5B"/>
    <w:rsid w:val="001050E0"/>
    <w:rsid w:val="001061D4"/>
    <w:rsid w:val="00107D8A"/>
    <w:rsid w:val="00111DC3"/>
    <w:rsid w:val="001124FE"/>
    <w:rsid w:val="0011259D"/>
    <w:rsid w:val="001129FA"/>
    <w:rsid w:val="001134EB"/>
    <w:rsid w:val="0011463C"/>
    <w:rsid w:val="00114C10"/>
    <w:rsid w:val="001150AF"/>
    <w:rsid w:val="00115334"/>
    <w:rsid w:val="00116D8C"/>
    <w:rsid w:val="00117495"/>
    <w:rsid w:val="001228AE"/>
    <w:rsid w:val="0012297C"/>
    <w:rsid w:val="0012352D"/>
    <w:rsid w:val="00124C62"/>
    <w:rsid w:val="00124E4A"/>
    <w:rsid w:val="00125AFB"/>
    <w:rsid w:val="001260D8"/>
    <w:rsid w:val="00127088"/>
    <w:rsid w:val="00127099"/>
    <w:rsid w:val="0012713D"/>
    <w:rsid w:val="00130E10"/>
    <w:rsid w:val="0013129F"/>
    <w:rsid w:val="0013236C"/>
    <w:rsid w:val="00132D1A"/>
    <w:rsid w:val="001333BF"/>
    <w:rsid w:val="001358CF"/>
    <w:rsid w:val="00135DE1"/>
    <w:rsid w:val="00137FD2"/>
    <w:rsid w:val="00140CAF"/>
    <w:rsid w:val="001413FA"/>
    <w:rsid w:val="0014209E"/>
    <w:rsid w:val="00142BD4"/>
    <w:rsid w:val="00142FA6"/>
    <w:rsid w:val="00144F44"/>
    <w:rsid w:val="0014508A"/>
    <w:rsid w:val="00150CC9"/>
    <w:rsid w:val="00151EF2"/>
    <w:rsid w:val="00154A6B"/>
    <w:rsid w:val="00154F25"/>
    <w:rsid w:val="0015554B"/>
    <w:rsid w:val="00155D98"/>
    <w:rsid w:val="00160F90"/>
    <w:rsid w:val="00162F61"/>
    <w:rsid w:val="001637DA"/>
    <w:rsid w:val="001652A0"/>
    <w:rsid w:val="00166F3B"/>
    <w:rsid w:val="001706F4"/>
    <w:rsid w:val="00170C57"/>
    <w:rsid w:val="00172B9E"/>
    <w:rsid w:val="00173E4B"/>
    <w:rsid w:val="00176C9C"/>
    <w:rsid w:val="00181F5B"/>
    <w:rsid w:val="001833CE"/>
    <w:rsid w:val="00183A14"/>
    <w:rsid w:val="001841B5"/>
    <w:rsid w:val="001850E8"/>
    <w:rsid w:val="00185157"/>
    <w:rsid w:val="0018548F"/>
    <w:rsid w:val="0018753E"/>
    <w:rsid w:val="00187FE5"/>
    <w:rsid w:val="00190E0C"/>
    <w:rsid w:val="00192F83"/>
    <w:rsid w:val="001933E7"/>
    <w:rsid w:val="0019343D"/>
    <w:rsid w:val="001949B8"/>
    <w:rsid w:val="001959AB"/>
    <w:rsid w:val="00195C47"/>
    <w:rsid w:val="00196747"/>
    <w:rsid w:val="00197FBE"/>
    <w:rsid w:val="001A1558"/>
    <w:rsid w:val="001A1C68"/>
    <w:rsid w:val="001A22C2"/>
    <w:rsid w:val="001A3546"/>
    <w:rsid w:val="001A49B0"/>
    <w:rsid w:val="001A4BC9"/>
    <w:rsid w:val="001A543A"/>
    <w:rsid w:val="001A5488"/>
    <w:rsid w:val="001A6DC7"/>
    <w:rsid w:val="001A6F04"/>
    <w:rsid w:val="001A788F"/>
    <w:rsid w:val="001A7941"/>
    <w:rsid w:val="001B0BBA"/>
    <w:rsid w:val="001B0D67"/>
    <w:rsid w:val="001B2184"/>
    <w:rsid w:val="001B2846"/>
    <w:rsid w:val="001B31CB"/>
    <w:rsid w:val="001B492A"/>
    <w:rsid w:val="001B601B"/>
    <w:rsid w:val="001B674C"/>
    <w:rsid w:val="001C0B36"/>
    <w:rsid w:val="001C1266"/>
    <w:rsid w:val="001C22D2"/>
    <w:rsid w:val="001C401F"/>
    <w:rsid w:val="001C6073"/>
    <w:rsid w:val="001C6378"/>
    <w:rsid w:val="001C704C"/>
    <w:rsid w:val="001D0161"/>
    <w:rsid w:val="001D0EBF"/>
    <w:rsid w:val="001D1C6C"/>
    <w:rsid w:val="001D1F4D"/>
    <w:rsid w:val="001D212F"/>
    <w:rsid w:val="001D3BD3"/>
    <w:rsid w:val="001D4DB9"/>
    <w:rsid w:val="001D4F12"/>
    <w:rsid w:val="001D5160"/>
    <w:rsid w:val="001D55CA"/>
    <w:rsid w:val="001D66D3"/>
    <w:rsid w:val="001D717E"/>
    <w:rsid w:val="001D7581"/>
    <w:rsid w:val="001E0525"/>
    <w:rsid w:val="001E0D87"/>
    <w:rsid w:val="001E253D"/>
    <w:rsid w:val="001E278D"/>
    <w:rsid w:val="001E411A"/>
    <w:rsid w:val="001E41F7"/>
    <w:rsid w:val="001E4BCB"/>
    <w:rsid w:val="001E701F"/>
    <w:rsid w:val="001E7849"/>
    <w:rsid w:val="001F0A90"/>
    <w:rsid w:val="001F141B"/>
    <w:rsid w:val="001F2BC5"/>
    <w:rsid w:val="001F385A"/>
    <w:rsid w:val="001F5822"/>
    <w:rsid w:val="001F6946"/>
    <w:rsid w:val="001F709F"/>
    <w:rsid w:val="002000D6"/>
    <w:rsid w:val="0020029E"/>
    <w:rsid w:val="00201344"/>
    <w:rsid w:val="0020356E"/>
    <w:rsid w:val="002035CD"/>
    <w:rsid w:val="002038AD"/>
    <w:rsid w:val="0020560A"/>
    <w:rsid w:val="00205781"/>
    <w:rsid w:val="00206CF7"/>
    <w:rsid w:val="00207257"/>
    <w:rsid w:val="00207C12"/>
    <w:rsid w:val="00207C35"/>
    <w:rsid w:val="002101DE"/>
    <w:rsid w:val="0021079C"/>
    <w:rsid w:val="00211597"/>
    <w:rsid w:val="002155BB"/>
    <w:rsid w:val="00215F9E"/>
    <w:rsid w:val="0021611A"/>
    <w:rsid w:val="00216E9E"/>
    <w:rsid w:val="002176BF"/>
    <w:rsid w:val="002202B7"/>
    <w:rsid w:val="00221010"/>
    <w:rsid w:val="00221EEF"/>
    <w:rsid w:val="00222FAC"/>
    <w:rsid w:val="0022491F"/>
    <w:rsid w:val="00227EB4"/>
    <w:rsid w:val="00227F5D"/>
    <w:rsid w:val="00232AEB"/>
    <w:rsid w:val="00234E82"/>
    <w:rsid w:val="00235947"/>
    <w:rsid w:val="002360BB"/>
    <w:rsid w:val="0023630B"/>
    <w:rsid w:val="00240894"/>
    <w:rsid w:val="00240F09"/>
    <w:rsid w:val="002425B1"/>
    <w:rsid w:val="002433E1"/>
    <w:rsid w:val="0024393C"/>
    <w:rsid w:val="00243CBF"/>
    <w:rsid w:val="00244187"/>
    <w:rsid w:val="00244D90"/>
    <w:rsid w:val="00245076"/>
    <w:rsid w:val="00246549"/>
    <w:rsid w:val="00246BCB"/>
    <w:rsid w:val="00246D6B"/>
    <w:rsid w:val="0024770E"/>
    <w:rsid w:val="00247FE2"/>
    <w:rsid w:val="002502E9"/>
    <w:rsid w:val="00250409"/>
    <w:rsid w:val="00252203"/>
    <w:rsid w:val="0025458D"/>
    <w:rsid w:val="002547DB"/>
    <w:rsid w:val="00255EF0"/>
    <w:rsid w:val="00256402"/>
    <w:rsid w:val="00256456"/>
    <w:rsid w:val="002570BE"/>
    <w:rsid w:val="0025719D"/>
    <w:rsid w:val="00257391"/>
    <w:rsid w:val="00257580"/>
    <w:rsid w:val="00260606"/>
    <w:rsid w:val="00262110"/>
    <w:rsid w:val="002630D0"/>
    <w:rsid w:val="002631DE"/>
    <w:rsid w:val="0026351D"/>
    <w:rsid w:val="0026378D"/>
    <w:rsid w:val="0026400F"/>
    <w:rsid w:val="00264686"/>
    <w:rsid w:val="00267862"/>
    <w:rsid w:val="00267FBB"/>
    <w:rsid w:val="002706C4"/>
    <w:rsid w:val="00271047"/>
    <w:rsid w:val="0027186C"/>
    <w:rsid w:val="0027187E"/>
    <w:rsid w:val="002721F3"/>
    <w:rsid w:val="00272B93"/>
    <w:rsid w:val="00276840"/>
    <w:rsid w:val="00277E5C"/>
    <w:rsid w:val="002807D6"/>
    <w:rsid w:val="002842C0"/>
    <w:rsid w:val="00284806"/>
    <w:rsid w:val="00285553"/>
    <w:rsid w:val="00286E38"/>
    <w:rsid w:val="002879E8"/>
    <w:rsid w:val="00290422"/>
    <w:rsid w:val="00290775"/>
    <w:rsid w:val="00291CA5"/>
    <w:rsid w:val="0029328E"/>
    <w:rsid w:val="002936CC"/>
    <w:rsid w:val="0029377C"/>
    <w:rsid w:val="002937A8"/>
    <w:rsid w:val="00294577"/>
    <w:rsid w:val="0029463C"/>
    <w:rsid w:val="00297B1F"/>
    <w:rsid w:val="00297C2E"/>
    <w:rsid w:val="002A026E"/>
    <w:rsid w:val="002A0836"/>
    <w:rsid w:val="002A118B"/>
    <w:rsid w:val="002A20AA"/>
    <w:rsid w:val="002A20CE"/>
    <w:rsid w:val="002A2F94"/>
    <w:rsid w:val="002A302D"/>
    <w:rsid w:val="002A431F"/>
    <w:rsid w:val="002A4A19"/>
    <w:rsid w:val="002A4A56"/>
    <w:rsid w:val="002A4E0F"/>
    <w:rsid w:val="002A6280"/>
    <w:rsid w:val="002A68CC"/>
    <w:rsid w:val="002A7639"/>
    <w:rsid w:val="002A7690"/>
    <w:rsid w:val="002B0D40"/>
    <w:rsid w:val="002B1730"/>
    <w:rsid w:val="002B1979"/>
    <w:rsid w:val="002B32AA"/>
    <w:rsid w:val="002B33A6"/>
    <w:rsid w:val="002B3CB0"/>
    <w:rsid w:val="002B4A86"/>
    <w:rsid w:val="002B4DF1"/>
    <w:rsid w:val="002B4DF4"/>
    <w:rsid w:val="002B5C1D"/>
    <w:rsid w:val="002B768B"/>
    <w:rsid w:val="002B7F94"/>
    <w:rsid w:val="002C0C43"/>
    <w:rsid w:val="002C0C80"/>
    <w:rsid w:val="002C2837"/>
    <w:rsid w:val="002C3CCA"/>
    <w:rsid w:val="002C5517"/>
    <w:rsid w:val="002C5974"/>
    <w:rsid w:val="002C5D5C"/>
    <w:rsid w:val="002C72BC"/>
    <w:rsid w:val="002D00AF"/>
    <w:rsid w:val="002D0F52"/>
    <w:rsid w:val="002D15FC"/>
    <w:rsid w:val="002D1BF0"/>
    <w:rsid w:val="002D2862"/>
    <w:rsid w:val="002D2B1F"/>
    <w:rsid w:val="002D307E"/>
    <w:rsid w:val="002D4129"/>
    <w:rsid w:val="002D479C"/>
    <w:rsid w:val="002D4D42"/>
    <w:rsid w:val="002D70C1"/>
    <w:rsid w:val="002E1F71"/>
    <w:rsid w:val="002E2222"/>
    <w:rsid w:val="002E2AD7"/>
    <w:rsid w:val="002E3F28"/>
    <w:rsid w:val="002E3FE9"/>
    <w:rsid w:val="002E4C86"/>
    <w:rsid w:val="002E6120"/>
    <w:rsid w:val="002E6FCD"/>
    <w:rsid w:val="002E7BAA"/>
    <w:rsid w:val="002F11BB"/>
    <w:rsid w:val="002F32EF"/>
    <w:rsid w:val="002F34D4"/>
    <w:rsid w:val="002F48C2"/>
    <w:rsid w:val="002F5D6F"/>
    <w:rsid w:val="002F74F4"/>
    <w:rsid w:val="002F75D4"/>
    <w:rsid w:val="0030084E"/>
    <w:rsid w:val="003008D8"/>
    <w:rsid w:val="00304FAC"/>
    <w:rsid w:val="00305770"/>
    <w:rsid w:val="003057AC"/>
    <w:rsid w:val="0030711A"/>
    <w:rsid w:val="0030761D"/>
    <w:rsid w:val="00311881"/>
    <w:rsid w:val="00311CFA"/>
    <w:rsid w:val="00312AA3"/>
    <w:rsid w:val="00313679"/>
    <w:rsid w:val="00313AAE"/>
    <w:rsid w:val="00313E16"/>
    <w:rsid w:val="00315923"/>
    <w:rsid w:val="00315FD2"/>
    <w:rsid w:val="00316119"/>
    <w:rsid w:val="00320C0B"/>
    <w:rsid w:val="003227C0"/>
    <w:rsid w:val="0032382A"/>
    <w:rsid w:val="00323E7E"/>
    <w:rsid w:val="00324CA4"/>
    <w:rsid w:val="00325BEC"/>
    <w:rsid w:val="00326869"/>
    <w:rsid w:val="0032736C"/>
    <w:rsid w:val="00327769"/>
    <w:rsid w:val="00330D2A"/>
    <w:rsid w:val="0033284B"/>
    <w:rsid w:val="00333B24"/>
    <w:rsid w:val="00334242"/>
    <w:rsid w:val="003352E7"/>
    <w:rsid w:val="0033644F"/>
    <w:rsid w:val="00336529"/>
    <w:rsid w:val="0033678E"/>
    <w:rsid w:val="00336D4D"/>
    <w:rsid w:val="00337BA4"/>
    <w:rsid w:val="003408C1"/>
    <w:rsid w:val="00340DD4"/>
    <w:rsid w:val="00341238"/>
    <w:rsid w:val="003414D2"/>
    <w:rsid w:val="00343811"/>
    <w:rsid w:val="00346902"/>
    <w:rsid w:val="003469AF"/>
    <w:rsid w:val="00347052"/>
    <w:rsid w:val="0034786D"/>
    <w:rsid w:val="00351203"/>
    <w:rsid w:val="003517F7"/>
    <w:rsid w:val="00351CC3"/>
    <w:rsid w:val="00353A65"/>
    <w:rsid w:val="00355099"/>
    <w:rsid w:val="00355304"/>
    <w:rsid w:val="003559C7"/>
    <w:rsid w:val="00355C92"/>
    <w:rsid w:val="003563C5"/>
    <w:rsid w:val="00361846"/>
    <w:rsid w:val="00361DF8"/>
    <w:rsid w:val="00361F92"/>
    <w:rsid w:val="003626C4"/>
    <w:rsid w:val="0036310D"/>
    <w:rsid w:val="00363EBE"/>
    <w:rsid w:val="00364161"/>
    <w:rsid w:val="003643F3"/>
    <w:rsid w:val="00364430"/>
    <w:rsid w:val="003647D2"/>
    <w:rsid w:val="00364F78"/>
    <w:rsid w:val="003659A5"/>
    <w:rsid w:val="00365B7B"/>
    <w:rsid w:val="00366C97"/>
    <w:rsid w:val="0036756D"/>
    <w:rsid w:val="00367A3B"/>
    <w:rsid w:val="00367BD7"/>
    <w:rsid w:val="003704B9"/>
    <w:rsid w:val="00371748"/>
    <w:rsid w:val="0037271E"/>
    <w:rsid w:val="00372B0A"/>
    <w:rsid w:val="0037304A"/>
    <w:rsid w:val="0037419A"/>
    <w:rsid w:val="0037514C"/>
    <w:rsid w:val="00377EB2"/>
    <w:rsid w:val="0038002A"/>
    <w:rsid w:val="003827C5"/>
    <w:rsid w:val="0038345F"/>
    <w:rsid w:val="0038538C"/>
    <w:rsid w:val="003860E2"/>
    <w:rsid w:val="00386B60"/>
    <w:rsid w:val="00386C78"/>
    <w:rsid w:val="0039204B"/>
    <w:rsid w:val="003938DF"/>
    <w:rsid w:val="003973C7"/>
    <w:rsid w:val="0039748F"/>
    <w:rsid w:val="003A2CA6"/>
    <w:rsid w:val="003A3929"/>
    <w:rsid w:val="003A5DF7"/>
    <w:rsid w:val="003A5F7B"/>
    <w:rsid w:val="003A6081"/>
    <w:rsid w:val="003A6ACC"/>
    <w:rsid w:val="003A7DBF"/>
    <w:rsid w:val="003B0F87"/>
    <w:rsid w:val="003B15C9"/>
    <w:rsid w:val="003B1E15"/>
    <w:rsid w:val="003B27E5"/>
    <w:rsid w:val="003B30EC"/>
    <w:rsid w:val="003B3B71"/>
    <w:rsid w:val="003B3CB0"/>
    <w:rsid w:val="003B565F"/>
    <w:rsid w:val="003B7330"/>
    <w:rsid w:val="003C0CB6"/>
    <w:rsid w:val="003C4256"/>
    <w:rsid w:val="003C4D79"/>
    <w:rsid w:val="003C5165"/>
    <w:rsid w:val="003C55C7"/>
    <w:rsid w:val="003C5D15"/>
    <w:rsid w:val="003C6BEF"/>
    <w:rsid w:val="003C7100"/>
    <w:rsid w:val="003C77FF"/>
    <w:rsid w:val="003D142A"/>
    <w:rsid w:val="003D1BAA"/>
    <w:rsid w:val="003D243A"/>
    <w:rsid w:val="003D3447"/>
    <w:rsid w:val="003D35E3"/>
    <w:rsid w:val="003D3CC0"/>
    <w:rsid w:val="003D618F"/>
    <w:rsid w:val="003D6242"/>
    <w:rsid w:val="003D720B"/>
    <w:rsid w:val="003D7EB2"/>
    <w:rsid w:val="003D7F4B"/>
    <w:rsid w:val="003E087F"/>
    <w:rsid w:val="003E08BD"/>
    <w:rsid w:val="003E18B4"/>
    <w:rsid w:val="003E2CA6"/>
    <w:rsid w:val="003E39F9"/>
    <w:rsid w:val="003E41B7"/>
    <w:rsid w:val="003E59CA"/>
    <w:rsid w:val="003F116F"/>
    <w:rsid w:val="003F1F83"/>
    <w:rsid w:val="003F5F71"/>
    <w:rsid w:val="003F71B6"/>
    <w:rsid w:val="003F78D5"/>
    <w:rsid w:val="003F7E3B"/>
    <w:rsid w:val="0040037C"/>
    <w:rsid w:val="00402446"/>
    <w:rsid w:val="00402609"/>
    <w:rsid w:val="00402900"/>
    <w:rsid w:val="00403355"/>
    <w:rsid w:val="004047F7"/>
    <w:rsid w:val="00405BFA"/>
    <w:rsid w:val="004062B1"/>
    <w:rsid w:val="0040715D"/>
    <w:rsid w:val="00407301"/>
    <w:rsid w:val="00407DDC"/>
    <w:rsid w:val="004116F3"/>
    <w:rsid w:val="00411876"/>
    <w:rsid w:val="0041200D"/>
    <w:rsid w:val="0041290B"/>
    <w:rsid w:val="004129DA"/>
    <w:rsid w:val="00415C11"/>
    <w:rsid w:val="004208BF"/>
    <w:rsid w:val="00421105"/>
    <w:rsid w:val="004218F4"/>
    <w:rsid w:val="004220EC"/>
    <w:rsid w:val="00422256"/>
    <w:rsid w:val="00423CD5"/>
    <w:rsid w:val="00424298"/>
    <w:rsid w:val="00424720"/>
    <w:rsid w:val="0042525F"/>
    <w:rsid w:val="00425978"/>
    <w:rsid w:val="00425EA7"/>
    <w:rsid w:val="00425FB2"/>
    <w:rsid w:val="004268ED"/>
    <w:rsid w:val="00427915"/>
    <w:rsid w:val="004303C0"/>
    <w:rsid w:val="0043167C"/>
    <w:rsid w:val="004323E1"/>
    <w:rsid w:val="00432543"/>
    <w:rsid w:val="00434882"/>
    <w:rsid w:val="00434D12"/>
    <w:rsid w:val="00435156"/>
    <w:rsid w:val="00435240"/>
    <w:rsid w:val="00435E02"/>
    <w:rsid w:val="00441199"/>
    <w:rsid w:val="0044171B"/>
    <w:rsid w:val="00441873"/>
    <w:rsid w:val="00441D90"/>
    <w:rsid w:val="00442B75"/>
    <w:rsid w:val="0044456C"/>
    <w:rsid w:val="0044491A"/>
    <w:rsid w:val="004449F5"/>
    <w:rsid w:val="0044527E"/>
    <w:rsid w:val="00446B80"/>
    <w:rsid w:val="00447254"/>
    <w:rsid w:val="00447C2B"/>
    <w:rsid w:val="00450D1F"/>
    <w:rsid w:val="00450F2E"/>
    <w:rsid w:val="00451C2C"/>
    <w:rsid w:val="00451D6F"/>
    <w:rsid w:val="00451DC7"/>
    <w:rsid w:val="00452145"/>
    <w:rsid w:val="00453DD6"/>
    <w:rsid w:val="0045446F"/>
    <w:rsid w:val="00455BBF"/>
    <w:rsid w:val="0045623A"/>
    <w:rsid w:val="00456F9B"/>
    <w:rsid w:val="00460387"/>
    <w:rsid w:val="00460908"/>
    <w:rsid w:val="00460F19"/>
    <w:rsid w:val="00460F70"/>
    <w:rsid w:val="004621A9"/>
    <w:rsid w:val="00464BBD"/>
    <w:rsid w:val="00466A9E"/>
    <w:rsid w:val="00470715"/>
    <w:rsid w:val="00473FB5"/>
    <w:rsid w:val="00474C4B"/>
    <w:rsid w:val="00475140"/>
    <w:rsid w:val="0047664B"/>
    <w:rsid w:val="0047665F"/>
    <w:rsid w:val="004769B3"/>
    <w:rsid w:val="00476CD6"/>
    <w:rsid w:val="00477106"/>
    <w:rsid w:val="00477481"/>
    <w:rsid w:val="00483501"/>
    <w:rsid w:val="004850CC"/>
    <w:rsid w:val="004866B1"/>
    <w:rsid w:val="00487077"/>
    <w:rsid w:val="0049052E"/>
    <w:rsid w:val="00494609"/>
    <w:rsid w:val="00495BC2"/>
    <w:rsid w:val="0049637C"/>
    <w:rsid w:val="00497ACC"/>
    <w:rsid w:val="00497F79"/>
    <w:rsid w:val="004A0138"/>
    <w:rsid w:val="004A522A"/>
    <w:rsid w:val="004A529F"/>
    <w:rsid w:val="004A63D1"/>
    <w:rsid w:val="004A73A3"/>
    <w:rsid w:val="004B0EE7"/>
    <w:rsid w:val="004B1199"/>
    <w:rsid w:val="004B246D"/>
    <w:rsid w:val="004B3E79"/>
    <w:rsid w:val="004B51EE"/>
    <w:rsid w:val="004B5524"/>
    <w:rsid w:val="004B5E1E"/>
    <w:rsid w:val="004C0AA7"/>
    <w:rsid w:val="004C0F3E"/>
    <w:rsid w:val="004C40E9"/>
    <w:rsid w:val="004C48FB"/>
    <w:rsid w:val="004C5F6B"/>
    <w:rsid w:val="004C67BC"/>
    <w:rsid w:val="004C70F9"/>
    <w:rsid w:val="004C7133"/>
    <w:rsid w:val="004D11B2"/>
    <w:rsid w:val="004D324C"/>
    <w:rsid w:val="004D370C"/>
    <w:rsid w:val="004D3902"/>
    <w:rsid w:val="004D3AC8"/>
    <w:rsid w:val="004D5101"/>
    <w:rsid w:val="004D5561"/>
    <w:rsid w:val="004D581D"/>
    <w:rsid w:val="004D5B25"/>
    <w:rsid w:val="004D667C"/>
    <w:rsid w:val="004D7366"/>
    <w:rsid w:val="004D74E1"/>
    <w:rsid w:val="004E1557"/>
    <w:rsid w:val="004E1958"/>
    <w:rsid w:val="004E1C8A"/>
    <w:rsid w:val="004E24B5"/>
    <w:rsid w:val="004E2C51"/>
    <w:rsid w:val="004E37CA"/>
    <w:rsid w:val="004E4BC7"/>
    <w:rsid w:val="004E5F64"/>
    <w:rsid w:val="004E63AA"/>
    <w:rsid w:val="004E6A09"/>
    <w:rsid w:val="004F20CB"/>
    <w:rsid w:val="004F29E8"/>
    <w:rsid w:val="004F323C"/>
    <w:rsid w:val="004F597D"/>
    <w:rsid w:val="004F6683"/>
    <w:rsid w:val="004F6C80"/>
    <w:rsid w:val="004F7A43"/>
    <w:rsid w:val="004F7C27"/>
    <w:rsid w:val="004F7E90"/>
    <w:rsid w:val="005015F6"/>
    <w:rsid w:val="0050288C"/>
    <w:rsid w:val="00502A16"/>
    <w:rsid w:val="0050572A"/>
    <w:rsid w:val="00505D21"/>
    <w:rsid w:val="005065C8"/>
    <w:rsid w:val="00506E05"/>
    <w:rsid w:val="005101B3"/>
    <w:rsid w:val="00510254"/>
    <w:rsid w:val="00510501"/>
    <w:rsid w:val="005107FA"/>
    <w:rsid w:val="00510B67"/>
    <w:rsid w:val="005117FD"/>
    <w:rsid w:val="00512F73"/>
    <w:rsid w:val="00513108"/>
    <w:rsid w:val="00513E9D"/>
    <w:rsid w:val="00513EB8"/>
    <w:rsid w:val="00515E1E"/>
    <w:rsid w:val="00517582"/>
    <w:rsid w:val="005176E7"/>
    <w:rsid w:val="0052046E"/>
    <w:rsid w:val="00520504"/>
    <w:rsid w:val="005218FF"/>
    <w:rsid w:val="00521C09"/>
    <w:rsid w:val="00521D40"/>
    <w:rsid w:val="0052227D"/>
    <w:rsid w:val="00523212"/>
    <w:rsid w:val="00523AE0"/>
    <w:rsid w:val="00524F67"/>
    <w:rsid w:val="00526515"/>
    <w:rsid w:val="0052654B"/>
    <w:rsid w:val="00527EC1"/>
    <w:rsid w:val="00532801"/>
    <w:rsid w:val="005346D1"/>
    <w:rsid w:val="005347F4"/>
    <w:rsid w:val="00535CC2"/>
    <w:rsid w:val="00536686"/>
    <w:rsid w:val="0053753C"/>
    <w:rsid w:val="00537AC5"/>
    <w:rsid w:val="005409D5"/>
    <w:rsid w:val="00541FA7"/>
    <w:rsid w:val="0054273D"/>
    <w:rsid w:val="005439D9"/>
    <w:rsid w:val="00543B0F"/>
    <w:rsid w:val="00543C83"/>
    <w:rsid w:val="00544D8E"/>
    <w:rsid w:val="0054534B"/>
    <w:rsid w:val="00551343"/>
    <w:rsid w:val="00553B07"/>
    <w:rsid w:val="00554037"/>
    <w:rsid w:val="005574FB"/>
    <w:rsid w:val="005578FF"/>
    <w:rsid w:val="00560A35"/>
    <w:rsid w:val="00561067"/>
    <w:rsid w:val="0056141D"/>
    <w:rsid w:val="00561A0A"/>
    <w:rsid w:val="00563547"/>
    <w:rsid w:val="005636EA"/>
    <w:rsid w:val="00564A5D"/>
    <w:rsid w:val="00564F99"/>
    <w:rsid w:val="0056630E"/>
    <w:rsid w:val="00567D50"/>
    <w:rsid w:val="0057045D"/>
    <w:rsid w:val="00570908"/>
    <w:rsid w:val="00571B23"/>
    <w:rsid w:val="00571BD4"/>
    <w:rsid w:val="00571EF6"/>
    <w:rsid w:val="00572598"/>
    <w:rsid w:val="00572AAC"/>
    <w:rsid w:val="005740E4"/>
    <w:rsid w:val="0057441A"/>
    <w:rsid w:val="00574475"/>
    <w:rsid w:val="0057561E"/>
    <w:rsid w:val="00576115"/>
    <w:rsid w:val="005765EB"/>
    <w:rsid w:val="00576EEB"/>
    <w:rsid w:val="00585166"/>
    <w:rsid w:val="00586822"/>
    <w:rsid w:val="00590146"/>
    <w:rsid w:val="005903E4"/>
    <w:rsid w:val="0059062F"/>
    <w:rsid w:val="00591AA5"/>
    <w:rsid w:val="00592C00"/>
    <w:rsid w:val="00593410"/>
    <w:rsid w:val="00593458"/>
    <w:rsid w:val="00594371"/>
    <w:rsid w:val="005944C8"/>
    <w:rsid w:val="0059453E"/>
    <w:rsid w:val="005964BC"/>
    <w:rsid w:val="0059709C"/>
    <w:rsid w:val="00597353"/>
    <w:rsid w:val="00597D6C"/>
    <w:rsid w:val="005A1064"/>
    <w:rsid w:val="005A10B1"/>
    <w:rsid w:val="005A1E4E"/>
    <w:rsid w:val="005A21EE"/>
    <w:rsid w:val="005A256D"/>
    <w:rsid w:val="005A2CA3"/>
    <w:rsid w:val="005A2DA8"/>
    <w:rsid w:val="005A3481"/>
    <w:rsid w:val="005A4C78"/>
    <w:rsid w:val="005A4D06"/>
    <w:rsid w:val="005A4F89"/>
    <w:rsid w:val="005A5541"/>
    <w:rsid w:val="005A5C52"/>
    <w:rsid w:val="005A7222"/>
    <w:rsid w:val="005A73B9"/>
    <w:rsid w:val="005A7D1F"/>
    <w:rsid w:val="005B03A8"/>
    <w:rsid w:val="005B19C0"/>
    <w:rsid w:val="005B19FE"/>
    <w:rsid w:val="005B23A8"/>
    <w:rsid w:val="005B3C32"/>
    <w:rsid w:val="005B44B8"/>
    <w:rsid w:val="005B4621"/>
    <w:rsid w:val="005B5244"/>
    <w:rsid w:val="005B6218"/>
    <w:rsid w:val="005C01F3"/>
    <w:rsid w:val="005C466B"/>
    <w:rsid w:val="005C529F"/>
    <w:rsid w:val="005C63CF"/>
    <w:rsid w:val="005C70C0"/>
    <w:rsid w:val="005D109C"/>
    <w:rsid w:val="005D1665"/>
    <w:rsid w:val="005D1833"/>
    <w:rsid w:val="005D246C"/>
    <w:rsid w:val="005D2CEF"/>
    <w:rsid w:val="005D4D29"/>
    <w:rsid w:val="005D5058"/>
    <w:rsid w:val="005D58A6"/>
    <w:rsid w:val="005D5EC0"/>
    <w:rsid w:val="005D6610"/>
    <w:rsid w:val="005D6BAD"/>
    <w:rsid w:val="005E0080"/>
    <w:rsid w:val="005E2D66"/>
    <w:rsid w:val="005E3349"/>
    <w:rsid w:val="005E3BCE"/>
    <w:rsid w:val="005E4FC2"/>
    <w:rsid w:val="005E5D00"/>
    <w:rsid w:val="005E7AB8"/>
    <w:rsid w:val="005E7CFE"/>
    <w:rsid w:val="005F2860"/>
    <w:rsid w:val="005F7177"/>
    <w:rsid w:val="005F7299"/>
    <w:rsid w:val="00602275"/>
    <w:rsid w:val="00603561"/>
    <w:rsid w:val="006035AE"/>
    <w:rsid w:val="00605806"/>
    <w:rsid w:val="00606A3B"/>
    <w:rsid w:val="00606EE7"/>
    <w:rsid w:val="0060750D"/>
    <w:rsid w:val="00610C0C"/>
    <w:rsid w:val="0061183A"/>
    <w:rsid w:val="00612D91"/>
    <w:rsid w:val="006132C5"/>
    <w:rsid w:val="00614D7F"/>
    <w:rsid w:val="006150CC"/>
    <w:rsid w:val="006153FD"/>
    <w:rsid w:val="0061572B"/>
    <w:rsid w:val="0061609B"/>
    <w:rsid w:val="00616158"/>
    <w:rsid w:val="00616227"/>
    <w:rsid w:val="00616C48"/>
    <w:rsid w:val="0061744E"/>
    <w:rsid w:val="00617BB5"/>
    <w:rsid w:val="006206F2"/>
    <w:rsid w:val="006212B1"/>
    <w:rsid w:val="00621412"/>
    <w:rsid w:val="00621780"/>
    <w:rsid w:val="00623628"/>
    <w:rsid w:val="00623B90"/>
    <w:rsid w:val="00624C9C"/>
    <w:rsid w:val="00624CFC"/>
    <w:rsid w:val="00624D84"/>
    <w:rsid w:val="00626662"/>
    <w:rsid w:val="00626DC4"/>
    <w:rsid w:val="00627177"/>
    <w:rsid w:val="00627922"/>
    <w:rsid w:val="006301EC"/>
    <w:rsid w:val="00631109"/>
    <w:rsid w:val="00631245"/>
    <w:rsid w:val="00632884"/>
    <w:rsid w:val="00633EB2"/>
    <w:rsid w:val="00633FAF"/>
    <w:rsid w:val="00635218"/>
    <w:rsid w:val="00635326"/>
    <w:rsid w:val="00635BD8"/>
    <w:rsid w:val="00635DF1"/>
    <w:rsid w:val="00636411"/>
    <w:rsid w:val="006377FE"/>
    <w:rsid w:val="006405C3"/>
    <w:rsid w:val="00640B4D"/>
    <w:rsid w:val="00640F21"/>
    <w:rsid w:val="00641F4E"/>
    <w:rsid w:val="00642A7E"/>
    <w:rsid w:val="00642EA7"/>
    <w:rsid w:val="00645509"/>
    <w:rsid w:val="00646910"/>
    <w:rsid w:val="00647773"/>
    <w:rsid w:val="006501B2"/>
    <w:rsid w:val="006520C3"/>
    <w:rsid w:val="0065315E"/>
    <w:rsid w:val="00654E17"/>
    <w:rsid w:val="00656006"/>
    <w:rsid w:val="00656216"/>
    <w:rsid w:val="00657530"/>
    <w:rsid w:val="00657C15"/>
    <w:rsid w:val="006613EC"/>
    <w:rsid w:val="00662E26"/>
    <w:rsid w:val="0066400C"/>
    <w:rsid w:val="00664BC0"/>
    <w:rsid w:val="00664C75"/>
    <w:rsid w:val="00665FF4"/>
    <w:rsid w:val="00666BE6"/>
    <w:rsid w:val="006708DD"/>
    <w:rsid w:val="0067174B"/>
    <w:rsid w:val="006724D1"/>
    <w:rsid w:val="00672694"/>
    <w:rsid w:val="00673254"/>
    <w:rsid w:val="00673BE7"/>
    <w:rsid w:val="00674091"/>
    <w:rsid w:val="00675A28"/>
    <w:rsid w:val="00675AC0"/>
    <w:rsid w:val="00675E95"/>
    <w:rsid w:val="0067670C"/>
    <w:rsid w:val="0068205E"/>
    <w:rsid w:val="00682196"/>
    <w:rsid w:val="0068234C"/>
    <w:rsid w:val="00684697"/>
    <w:rsid w:val="00684A05"/>
    <w:rsid w:val="00686D9D"/>
    <w:rsid w:val="00690029"/>
    <w:rsid w:val="00691A37"/>
    <w:rsid w:val="00691D57"/>
    <w:rsid w:val="00692067"/>
    <w:rsid w:val="0069252B"/>
    <w:rsid w:val="00692C88"/>
    <w:rsid w:val="00696610"/>
    <w:rsid w:val="006973AB"/>
    <w:rsid w:val="00697FEF"/>
    <w:rsid w:val="006A0EBF"/>
    <w:rsid w:val="006A310C"/>
    <w:rsid w:val="006A3FAB"/>
    <w:rsid w:val="006A4257"/>
    <w:rsid w:val="006A4BA0"/>
    <w:rsid w:val="006A4F64"/>
    <w:rsid w:val="006A69A2"/>
    <w:rsid w:val="006A6E0E"/>
    <w:rsid w:val="006A7A0E"/>
    <w:rsid w:val="006A7B42"/>
    <w:rsid w:val="006B1115"/>
    <w:rsid w:val="006B1B8D"/>
    <w:rsid w:val="006B1E79"/>
    <w:rsid w:val="006B2F3A"/>
    <w:rsid w:val="006B3E63"/>
    <w:rsid w:val="006B6D1E"/>
    <w:rsid w:val="006C14D3"/>
    <w:rsid w:val="006C226F"/>
    <w:rsid w:val="006C2D7E"/>
    <w:rsid w:val="006C2DCD"/>
    <w:rsid w:val="006C314D"/>
    <w:rsid w:val="006C406F"/>
    <w:rsid w:val="006C629A"/>
    <w:rsid w:val="006C663D"/>
    <w:rsid w:val="006C6680"/>
    <w:rsid w:val="006C6E0F"/>
    <w:rsid w:val="006C701C"/>
    <w:rsid w:val="006C7191"/>
    <w:rsid w:val="006C7AF4"/>
    <w:rsid w:val="006D002A"/>
    <w:rsid w:val="006D0579"/>
    <w:rsid w:val="006D20BA"/>
    <w:rsid w:val="006D3413"/>
    <w:rsid w:val="006D4866"/>
    <w:rsid w:val="006D4882"/>
    <w:rsid w:val="006D5E6A"/>
    <w:rsid w:val="006D7B9F"/>
    <w:rsid w:val="006E01A1"/>
    <w:rsid w:val="006E0B93"/>
    <w:rsid w:val="006E1345"/>
    <w:rsid w:val="006E6202"/>
    <w:rsid w:val="006E6DB1"/>
    <w:rsid w:val="006E6DE0"/>
    <w:rsid w:val="006F00A2"/>
    <w:rsid w:val="006F03D5"/>
    <w:rsid w:val="006F0CDC"/>
    <w:rsid w:val="006F2D9A"/>
    <w:rsid w:val="006F4643"/>
    <w:rsid w:val="006F4740"/>
    <w:rsid w:val="006F73B3"/>
    <w:rsid w:val="006F7928"/>
    <w:rsid w:val="006F7FF7"/>
    <w:rsid w:val="00700203"/>
    <w:rsid w:val="00700F36"/>
    <w:rsid w:val="007022D5"/>
    <w:rsid w:val="007032EC"/>
    <w:rsid w:val="00703305"/>
    <w:rsid w:val="00703F4E"/>
    <w:rsid w:val="007046BD"/>
    <w:rsid w:val="0070510A"/>
    <w:rsid w:val="00705B46"/>
    <w:rsid w:val="00706957"/>
    <w:rsid w:val="00706B02"/>
    <w:rsid w:val="00706F45"/>
    <w:rsid w:val="0070794F"/>
    <w:rsid w:val="007104EE"/>
    <w:rsid w:val="007109E3"/>
    <w:rsid w:val="00710E79"/>
    <w:rsid w:val="0071182D"/>
    <w:rsid w:val="00711BC5"/>
    <w:rsid w:val="007120BF"/>
    <w:rsid w:val="0071284E"/>
    <w:rsid w:val="0071285F"/>
    <w:rsid w:val="00712E6D"/>
    <w:rsid w:val="007137B9"/>
    <w:rsid w:val="00714AAA"/>
    <w:rsid w:val="00715B41"/>
    <w:rsid w:val="007229A1"/>
    <w:rsid w:val="00722DB1"/>
    <w:rsid w:val="0072358E"/>
    <w:rsid w:val="00723E9F"/>
    <w:rsid w:val="00724354"/>
    <w:rsid w:val="0072572C"/>
    <w:rsid w:val="00726119"/>
    <w:rsid w:val="007261FB"/>
    <w:rsid w:val="0072633C"/>
    <w:rsid w:val="00727421"/>
    <w:rsid w:val="00727A20"/>
    <w:rsid w:val="00727FB1"/>
    <w:rsid w:val="00730533"/>
    <w:rsid w:val="00733F35"/>
    <w:rsid w:val="00735BFA"/>
    <w:rsid w:val="00735D3E"/>
    <w:rsid w:val="00737B8E"/>
    <w:rsid w:val="00741653"/>
    <w:rsid w:val="007430AC"/>
    <w:rsid w:val="007434E6"/>
    <w:rsid w:val="0074435F"/>
    <w:rsid w:val="007443A7"/>
    <w:rsid w:val="00744CD1"/>
    <w:rsid w:val="00745F8B"/>
    <w:rsid w:val="0074608B"/>
    <w:rsid w:val="00747367"/>
    <w:rsid w:val="0074738F"/>
    <w:rsid w:val="00747C9B"/>
    <w:rsid w:val="0075183B"/>
    <w:rsid w:val="00753E4D"/>
    <w:rsid w:val="007542E1"/>
    <w:rsid w:val="007545B3"/>
    <w:rsid w:val="00755A13"/>
    <w:rsid w:val="007569EF"/>
    <w:rsid w:val="00756CE3"/>
    <w:rsid w:val="007572CA"/>
    <w:rsid w:val="00757862"/>
    <w:rsid w:val="00757F77"/>
    <w:rsid w:val="0076025E"/>
    <w:rsid w:val="007605AC"/>
    <w:rsid w:val="00760DAB"/>
    <w:rsid w:val="00760EF0"/>
    <w:rsid w:val="00761335"/>
    <w:rsid w:val="00764AB4"/>
    <w:rsid w:val="00765C4E"/>
    <w:rsid w:val="00766F9B"/>
    <w:rsid w:val="00770307"/>
    <w:rsid w:val="007718EE"/>
    <w:rsid w:val="00771E74"/>
    <w:rsid w:val="00772E3C"/>
    <w:rsid w:val="007735BB"/>
    <w:rsid w:val="00773C2A"/>
    <w:rsid w:val="007775C1"/>
    <w:rsid w:val="00780F5A"/>
    <w:rsid w:val="00781234"/>
    <w:rsid w:val="00781CB9"/>
    <w:rsid w:val="00781D07"/>
    <w:rsid w:val="007849D8"/>
    <w:rsid w:val="00785052"/>
    <w:rsid w:val="00785EB7"/>
    <w:rsid w:val="00787A73"/>
    <w:rsid w:val="0079022A"/>
    <w:rsid w:val="00790541"/>
    <w:rsid w:val="00791E15"/>
    <w:rsid w:val="00794289"/>
    <w:rsid w:val="00794604"/>
    <w:rsid w:val="0079517B"/>
    <w:rsid w:val="00795C0C"/>
    <w:rsid w:val="00795C46"/>
    <w:rsid w:val="0079773C"/>
    <w:rsid w:val="007A0A1D"/>
    <w:rsid w:val="007A10CF"/>
    <w:rsid w:val="007A40DF"/>
    <w:rsid w:val="007A4790"/>
    <w:rsid w:val="007A4A9B"/>
    <w:rsid w:val="007A4B0E"/>
    <w:rsid w:val="007A4E36"/>
    <w:rsid w:val="007A529B"/>
    <w:rsid w:val="007A59BB"/>
    <w:rsid w:val="007A5AF7"/>
    <w:rsid w:val="007A7B0B"/>
    <w:rsid w:val="007B37D4"/>
    <w:rsid w:val="007B398E"/>
    <w:rsid w:val="007B3A83"/>
    <w:rsid w:val="007B477C"/>
    <w:rsid w:val="007B4BF3"/>
    <w:rsid w:val="007B5EA9"/>
    <w:rsid w:val="007B7771"/>
    <w:rsid w:val="007C0AF3"/>
    <w:rsid w:val="007C1AA9"/>
    <w:rsid w:val="007C2032"/>
    <w:rsid w:val="007C22EE"/>
    <w:rsid w:val="007C239A"/>
    <w:rsid w:val="007C3A2B"/>
    <w:rsid w:val="007C4233"/>
    <w:rsid w:val="007C464A"/>
    <w:rsid w:val="007C4FBF"/>
    <w:rsid w:val="007C551E"/>
    <w:rsid w:val="007C6616"/>
    <w:rsid w:val="007C7A0F"/>
    <w:rsid w:val="007D0A26"/>
    <w:rsid w:val="007D0CE7"/>
    <w:rsid w:val="007D102B"/>
    <w:rsid w:val="007D2165"/>
    <w:rsid w:val="007D2E3D"/>
    <w:rsid w:val="007D352C"/>
    <w:rsid w:val="007D42BC"/>
    <w:rsid w:val="007D6BCF"/>
    <w:rsid w:val="007D6FB0"/>
    <w:rsid w:val="007E6934"/>
    <w:rsid w:val="007E7C2A"/>
    <w:rsid w:val="007E7FFB"/>
    <w:rsid w:val="007F0416"/>
    <w:rsid w:val="007F0B5A"/>
    <w:rsid w:val="007F0E69"/>
    <w:rsid w:val="007F0FEF"/>
    <w:rsid w:val="007F2ED9"/>
    <w:rsid w:val="007F4F0C"/>
    <w:rsid w:val="007F6002"/>
    <w:rsid w:val="007F7683"/>
    <w:rsid w:val="007F76B6"/>
    <w:rsid w:val="008000C5"/>
    <w:rsid w:val="00801CED"/>
    <w:rsid w:val="00803822"/>
    <w:rsid w:val="0080395D"/>
    <w:rsid w:val="00804564"/>
    <w:rsid w:val="0080521B"/>
    <w:rsid w:val="008069C9"/>
    <w:rsid w:val="008108A4"/>
    <w:rsid w:val="0081090F"/>
    <w:rsid w:val="00810DA3"/>
    <w:rsid w:val="00811464"/>
    <w:rsid w:val="008116F3"/>
    <w:rsid w:val="00812AEF"/>
    <w:rsid w:val="008141FC"/>
    <w:rsid w:val="00814927"/>
    <w:rsid w:val="00815918"/>
    <w:rsid w:val="00815FC4"/>
    <w:rsid w:val="00820F0E"/>
    <w:rsid w:val="0082136E"/>
    <w:rsid w:val="00822F3B"/>
    <w:rsid w:val="0082396B"/>
    <w:rsid w:val="00824952"/>
    <w:rsid w:val="008268EC"/>
    <w:rsid w:val="00826B18"/>
    <w:rsid w:val="0082774B"/>
    <w:rsid w:val="00827D57"/>
    <w:rsid w:val="00830269"/>
    <w:rsid w:val="00832001"/>
    <w:rsid w:val="0083237C"/>
    <w:rsid w:val="00832A73"/>
    <w:rsid w:val="00832D49"/>
    <w:rsid w:val="008345E2"/>
    <w:rsid w:val="008358CC"/>
    <w:rsid w:val="00836058"/>
    <w:rsid w:val="0084024C"/>
    <w:rsid w:val="00840984"/>
    <w:rsid w:val="008409F0"/>
    <w:rsid w:val="0084132E"/>
    <w:rsid w:val="00841B97"/>
    <w:rsid w:val="00842408"/>
    <w:rsid w:val="008425EE"/>
    <w:rsid w:val="008430EE"/>
    <w:rsid w:val="00844897"/>
    <w:rsid w:val="00844F15"/>
    <w:rsid w:val="00846B28"/>
    <w:rsid w:val="0084740E"/>
    <w:rsid w:val="0085001C"/>
    <w:rsid w:val="00850080"/>
    <w:rsid w:val="00850484"/>
    <w:rsid w:val="008504AF"/>
    <w:rsid w:val="0085053B"/>
    <w:rsid w:val="00851548"/>
    <w:rsid w:val="00851F2D"/>
    <w:rsid w:val="008525F9"/>
    <w:rsid w:val="008529A7"/>
    <w:rsid w:val="0085316F"/>
    <w:rsid w:val="0085327E"/>
    <w:rsid w:val="00853422"/>
    <w:rsid w:val="00854C90"/>
    <w:rsid w:val="00854D5A"/>
    <w:rsid w:val="0085602D"/>
    <w:rsid w:val="008578D1"/>
    <w:rsid w:val="00857F0A"/>
    <w:rsid w:val="008600A2"/>
    <w:rsid w:val="00861F23"/>
    <w:rsid w:val="008635BB"/>
    <w:rsid w:val="008636C8"/>
    <w:rsid w:val="008658A3"/>
    <w:rsid w:val="00865CC2"/>
    <w:rsid w:val="00865F38"/>
    <w:rsid w:val="0086611A"/>
    <w:rsid w:val="0086642C"/>
    <w:rsid w:val="00867071"/>
    <w:rsid w:val="008700B3"/>
    <w:rsid w:val="008700BD"/>
    <w:rsid w:val="008701FD"/>
    <w:rsid w:val="008705A0"/>
    <w:rsid w:val="00871F88"/>
    <w:rsid w:val="0087290C"/>
    <w:rsid w:val="008737F0"/>
    <w:rsid w:val="00873C5F"/>
    <w:rsid w:val="008744AF"/>
    <w:rsid w:val="00875583"/>
    <w:rsid w:val="008755B8"/>
    <w:rsid w:val="00877B16"/>
    <w:rsid w:val="00880AD3"/>
    <w:rsid w:val="00880CA1"/>
    <w:rsid w:val="00880FF4"/>
    <w:rsid w:val="008819A9"/>
    <w:rsid w:val="00883E33"/>
    <w:rsid w:val="00884927"/>
    <w:rsid w:val="00884A08"/>
    <w:rsid w:val="00884ABE"/>
    <w:rsid w:val="00885253"/>
    <w:rsid w:val="008858CB"/>
    <w:rsid w:val="00885CC9"/>
    <w:rsid w:val="00890F5A"/>
    <w:rsid w:val="00892833"/>
    <w:rsid w:val="00893E0A"/>
    <w:rsid w:val="00894513"/>
    <w:rsid w:val="00895079"/>
    <w:rsid w:val="008954A8"/>
    <w:rsid w:val="00895B8F"/>
    <w:rsid w:val="00896379"/>
    <w:rsid w:val="0089771E"/>
    <w:rsid w:val="00897D57"/>
    <w:rsid w:val="008A2ED0"/>
    <w:rsid w:val="008A36F7"/>
    <w:rsid w:val="008A58C9"/>
    <w:rsid w:val="008A5B72"/>
    <w:rsid w:val="008A7190"/>
    <w:rsid w:val="008B01BE"/>
    <w:rsid w:val="008B07CF"/>
    <w:rsid w:val="008B0BF6"/>
    <w:rsid w:val="008B107A"/>
    <w:rsid w:val="008B10E1"/>
    <w:rsid w:val="008B1314"/>
    <w:rsid w:val="008B2B3D"/>
    <w:rsid w:val="008B2EF3"/>
    <w:rsid w:val="008B3D6E"/>
    <w:rsid w:val="008B40B4"/>
    <w:rsid w:val="008B5499"/>
    <w:rsid w:val="008B6956"/>
    <w:rsid w:val="008B755D"/>
    <w:rsid w:val="008C19E2"/>
    <w:rsid w:val="008C202B"/>
    <w:rsid w:val="008C2BA4"/>
    <w:rsid w:val="008C4196"/>
    <w:rsid w:val="008C47B1"/>
    <w:rsid w:val="008C507B"/>
    <w:rsid w:val="008C59AB"/>
    <w:rsid w:val="008C78B3"/>
    <w:rsid w:val="008C7956"/>
    <w:rsid w:val="008D1933"/>
    <w:rsid w:val="008D35F3"/>
    <w:rsid w:val="008D4617"/>
    <w:rsid w:val="008D4789"/>
    <w:rsid w:val="008D4A9A"/>
    <w:rsid w:val="008D6B55"/>
    <w:rsid w:val="008D6C22"/>
    <w:rsid w:val="008D6FD9"/>
    <w:rsid w:val="008D7804"/>
    <w:rsid w:val="008E1C56"/>
    <w:rsid w:val="008E2433"/>
    <w:rsid w:val="008E287C"/>
    <w:rsid w:val="008E2C07"/>
    <w:rsid w:val="008E2C0B"/>
    <w:rsid w:val="008E3349"/>
    <w:rsid w:val="008E3A58"/>
    <w:rsid w:val="008E405A"/>
    <w:rsid w:val="008E5242"/>
    <w:rsid w:val="008E55F7"/>
    <w:rsid w:val="008E5E98"/>
    <w:rsid w:val="008F0B8C"/>
    <w:rsid w:val="008F1719"/>
    <w:rsid w:val="008F265D"/>
    <w:rsid w:val="008F2F7E"/>
    <w:rsid w:val="008F4CFE"/>
    <w:rsid w:val="008F52A2"/>
    <w:rsid w:val="008F5E4D"/>
    <w:rsid w:val="008F6545"/>
    <w:rsid w:val="008F6863"/>
    <w:rsid w:val="009002E5"/>
    <w:rsid w:val="00900F94"/>
    <w:rsid w:val="00900FE2"/>
    <w:rsid w:val="00902DDB"/>
    <w:rsid w:val="00902EA8"/>
    <w:rsid w:val="0090386E"/>
    <w:rsid w:val="009052E7"/>
    <w:rsid w:val="0090532A"/>
    <w:rsid w:val="009067D3"/>
    <w:rsid w:val="00907667"/>
    <w:rsid w:val="009102BD"/>
    <w:rsid w:val="0091046F"/>
    <w:rsid w:val="0091066A"/>
    <w:rsid w:val="009115D1"/>
    <w:rsid w:val="009116FF"/>
    <w:rsid w:val="00911A24"/>
    <w:rsid w:val="0091213F"/>
    <w:rsid w:val="00913DC4"/>
    <w:rsid w:val="00914691"/>
    <w:rsid w:val="00914797"/>
    <w:rsid w:val="00914811"/>
    <w:rsid w:val="00914FA9"/>
    <w:rsid w:val="00916724"/>
    <w:rsid w:val="00917584"/>
    <w:rsid w:val="00917E95"/>
    <w:rsid w:val="009206CF"/>
    <w:rsid w:val="00920C64"/>
    <w:rsid w:val="00920E76"/>
    <w:rsid w:val="00922478"/>
    <w:rsid w:val="00922ED5"/>
    <w:rsid w:val="009232F2"/>
    <w:rsid w:val="00924FF7"/>
    <w:rsid w:val="00925303"/>
    <w:rsid w:val="00925347"/>
    <w:rsid w:val="00925969"/>
    <w:rsid w:val="00930052"/>
    <w:rsid w:val="009351EA"/>
    <w:rsid w:val="00935B9C"/>
    <w:rsid w:val="00936A5C"/>
    <w:rsid w:val="00937B8F"/>
    <w:rsid w:val="00937CE7"/>
    <w:rsid w:val="009402CF"/>
    <w:rsid w:val="00940BA3"/>
    <w:rsid w:val="009410D8"/>
    <w:rsid w:val="009412ED"/>
    <w:rsid w:val="00941440"/>
    <w:rsid w:val="00941984"/>
    <w:rsid w:val="00942A8D"/>
    <w:rsid w:val="0094345A"/>
    <w:rsid w:val="00944F20"/>
    <w:rsid w:val="00946400"/>
    <w:rsid w:val="00947C3C"/>
    <w:rsid w:val="00950B22"/>
    <w:rsid w:val="0095289C"/>
    <w:rsid w:val="00953198"/>
    <w:rsid w:val="0095350A"/>
    <w:rsid w:val="00953AFA"/>
    <w:rsid w:val="00953C13"/>
    <w:rsid w:val="00954856"/>
    <w:rsid w:val="00955C40"/>
    <w:rsid w:val="00956EAD"/>
    <w:rsid w:val="00957200"/>
    <w:rsid w:val="00957AEB"/>
    <w:rsid w:val="009619B6"/>
    <w:rsid w:val="00961CF7"/>
    <w:rsid w:val="009627AA"/>
    <w:rsid w:val="00962C08"/>
    <w:rsid w:val="00967F21"/>
    <w:rsid w:val="0097130A"/>
    <w:rsid w:val="009724FB"/>
    <w:rsid w:val="00973054"/>
    <w:rsid w:val="00973586"/>
    <w:rsid w:val="0097450A"/>
    <w:rsid w:val="00977725"/>
    <w:rsid w:val="00977CCF"/>
    <w:rsid w:val="00980B94"/>
    <w:rsid w:val="009813A0"/>
    <w:rsid w:val="00982D29"/>
    <w:rsid w:val="009835E5"/>
    <w:rsid w:val="00985E35"/>
    <w:rsid w:val="0098720E"/>
    <w:rsid w:val="0099050F"/>
    <w:rsid w:val="00992F5C"/>
    <w:rsid w:val="009960AD"/>
    <w:rsid w:val="00996108"/>
    <w:rsid w:val="00996D44"/>
    <w:rsid w:val="00996E6E"/>
    <w:rsid w:val="009977F8"/>
    <w:rsid w:val="009A0ABA"/>
    <w:rsid w:val="009A128E"/>
    <w:rsid w:val="009A221A"/>
    <w:rsid w:val="009A2A1F"/>
    <w:rsid w:val="009A2C6F"/>
    <w:rsid w:val="009A3607"/>
    <w:rsid w:val="009A378D"/>
    <w:rsid w:val="009A3987"/>
    <w:rsid w:val="009A405F"/>
    <w:rsid w:val="009A4B1A"/>
    <w:rsid w:val="009A5200"/>
    <w:rsid w:val="009A552C"/>
    <w:rsid w:val="009A583D"/>
    <w:rsid w:val="009A5902"/>
    <w:rsid w:val="009A6948"/>
    <w:rsid w:val="009A7842"/>
    <w:rsid w:val="009A7D31"/>
    <w:rsid w:val="009B02F2"/>
    <w:rsid w:val="009B0BDD"/>
    <w:rsid w:val="009B11CA"/>
    <w:rsid w:val="009B157D"/>
    <w:rsid w:val="009B4798"/>
    <w:rsid w:val="009B59CF"/>
    <w:rsid w:val="009C0254"/>
    <w:rsid w:val="009C0A65"/>
    <w:rsid w:val="009C224B"/>
    <w:rsid w:val="009C4CE5"/>
    <w:rsid w:val="009C5860"/>
    <w:rsid w:val="009C6C1D"/>
    <w:rsid w:val="009C7814"/>
    <w:rsid w:val="009C7B51"/>
    <w:rsid w:val="009D021D"/>
    <w:rsid w:val="009D0CA9"/>
    <w:rsid w:val="009D20B0"/>
    <w:rsid w:val="009D2D20"/>
    <w:rsid w:val="009D4263"/>
    <w:rsid w:val="009D4E02"/>
    <w:rsid w:val="009D7CDA"/>
    <w:rsid w:val="009E06E3"/>
    <w:rsid w:val="009E0BA3"/>
    <w:rsid w:val="009E21F6"/>
    <w:rsid w:val="009E2A8A"/>
    <w:rsid w:val="009E36A6"/>
    <w:rsid w:val="009E5308"/>
    <w:rsid w:val="009E6198"/>
    <w:rsid w:val="009F0AEA"/>
    <w:rsid w:val="009F1A8C"/>
    <w:rsid w:val="009F4BBA"/>
    <w:rsid w:val="009F511D"/>
    <w:rsid w:val="009F54A9"/>
    <w:rsid w:val="009F602D"/>
    <w:rsid w:val="00A0051F"/>
    <w:rsid w:val="00A00716"/>
    <w:rsid w:val="00A01116"/>
    <w:rsid w:val="00A03813"/>
    <w:rsid w:val="00A040D2"/>
    <w:rsid w:val="00A04272"/>
    <w:rsid w:val="00A04538"/>
    <w:rsid w:val="00A04FCA"/>
    <w:rsid w:val="00A0519A"/>
    <w:rsid w:val="00A0641D"/>
    <w:rsid w:val="00A07270"/>
    <w:rsid w:val="00A07629"/>
    <w:rsid w:val="00A1025D"/>
    <w:rsid w:val="00A10923"/>
    <w:rsid w:val="00A10AD8"/>
    <w:rsid w:val="00A10AE1"/>
    <w:rsid w:val="00A124D1"/>
    <w:rsid w:val="00A12CEE"/>
    <w:rsid w:val="00A13FE3"/>
    <w:rsid w:val="00A155E1"/>
    <w:rsid w:val="00A1614C"/>
    <w:rsid w:val="00A17E44"/>
    <w:rsid w:val="00A2099E"/>
    <w:rsid w:val="00A212E7"/>
    <w:rsid w:val="00A21E44"/>
    <w:rsid w:val="00A26325"/>
    <w:rsid w:val="00A2708C"/>
    <w:rsid w:val="00A2763C"/>
    <w:rsid w:val="00A303AC"/>
    <w:rsid w:val="00A30E8E"/>
    <w:rsid w:val="00A316D7"/>
    <w:rsid w:val="00A317D9"/>
    <w:rsid w:val="00A317FB"/>
    <w:rsid w:val="00A33E20"/>
    <w:rsid w:val="00A35BD3"/>
    <w:rsid w:val="00A35E56"/>
    <w:rsid w:val="00A3640B"/>
    <w:rsid w:val="00A36D12"/>
    <w:rsid w:val="00A36FAE"/>
    <w:rsid w:val="00A37442"/>
    <w:rsid w:val="00A37774"/>
    <w:rsid w:val="00A41A42"/>
    <w:rsid w:val="00A47F27"/>
    <w:rsid w:val="00A50EB7"/>
    <w:rsid w:val="00A51694"/>
    <w:rsid w:val="00A53770"/>
    <w:rsid w:val="00A55BD5"/>
    <w:rsid w:val="00A57678"/>
    <w:rsid w:val="00A60ECB"/>
    <w:rsid w:val="00A61F2E"/>
    <w:rsid w:val="00A62B16"/>
    <w:rsid w:val="00A63A5A"/>
    <w:rsid w:val="00A64D67"/>
    <w:rsid w:val="00A67260"/>
    <w:rsid w:val="00A67C1F"/>
    <w:rsid w:val="00A7242A"/>
    <w:rsid w:val="00A72631"/>
    <w:rsid w:val="00A73F01"/>
    <w:rsid w:val="00A742CA"/>
    <w:rsid w:val="00A75E1F"/>
    <w:rsid w:val="00A76E43"/>
    <w:rsid w:val="00A7721B"/>
    <w:rsid w:val="00A77912"/>
    <w:rsid w:val="00A800CA"/>
    <w:rsid w:val="00A80156"/>
    <w:rsid w:val="00A8054A"/>
    <w:rsid w:val="00A80D75"/>
    <w:rsid w:val="00A812E2"/>
    <w:rsid w:val="00A81988"/>
    <w:rsid w:val="00A822D4"/>
    <w:rsid w:val="00A84F01"/>
    <w:rsid w:val="00A852AB"/>
    <w:rsid w:val="00A90A6F"/>
    <w:rsid w:val="00A90F37"/>
    <w:rsid w:val="00A94628"/>
    <w:rsid w:val="00A9579A"/>
    <w:rsid w:val="00A9615E"/>
    <w:rsid w:val="00AA03EE"/>
    <w:rsid w:val="00AA0945"/>
    <w:rsid w:val="00AA0C8A"/>
    <w:rsid w:val="00AA0EE1"/>
    <w:rsid w:val="00AA107A"/>
    <w:rsid w:val="00AA1EEA"/>
    <w:rsid w:val="00AA2589"/>
    <w:rsid w:val="00AA303F"/>
    <w:rsid w:val="00AA49F2"/>
    <w:rsid w:val="00AA4E67"/>
    <w:rsid w:val="00AA54EF"/>
    <w:rsid w:val="00AA714E"/>
    <w:rsid w:val="00AB0068"/>
    <w:rsid w:val="00AB05DF"/>
    <w:rsid w:val="00AB0685"/>
    <w:rsid w:val="00AB0FC7"/>
    <w:rsid w:val="00AB2A3B"/>
    <w:rsid w:val="00AB33DD"/>
    <w:rsid w:val="00AB3970"/>
    <w:rsid w:val="00AB39B6"/>
    <w:rsid w:val="00AB5A9D"/>
    <w:rsid w:val="00AB60BD"/>
    <w:rsid w:val="00AB62FC"/>
    <w:rsid w:val="00AC08AA"/>
    <w:rsid w:val="00AC17E7"/>
    <w:rsid w:val="00AC3060"/>
    <w:rsid w:val="00AC3C57"/>
    <w:rsid w:val="00AC442A"/>
    <w:rsid w:val="00AC4FC7"/>
    <w:rsid w:val="00AC65A2"/>
    <w:rsid w:val="00AC6697"/>
    <w:rsid w:val="00AC6B42"/>
    <w:rsid w:val="00AC6D3D"/>
    <w:rsid w:val="00AD0EFB"/>
    <w:rsid w:val="00AD25D1"/>
    <w:rsid w:val="00AD28C0"/>
    <w:rsid w:val="00AD3076"/>
    <w:rsid w:val="00AD38EB"/>
    <w:rsid w:val="00AD4957"/>
    <w:rsid w:val="00AD603B"/>
    <w:rsid w:val="00AD6046"/>
    <w:rsid w:val="00AE01E6"/>
    <w:rsid w:val="00AE0ED9"/>
    <w:rsid w:val="00AE136F"/>
    <w:rsid w:val="00AE1599"/>
    <w:rsid w:val="00AE18EF"/>
    <w:rsid w:val="00AE1F57"/>
    <w:rsid w:val="00AE26C7"/>
    <w:rsid w:val="00AE36F6"/>
    <w:rsid w:val="00AE57CB"/>
    <w:rsid w:val="00AE58CB"/>
    <w:rsid w:val="00AE6303"/>
    <w:rsid w:val="00AE6E59"/>
    <w:rsid w:val="00AE72CA"/>
    <w:rsid w:val="00AF1DF7"/>
    <w:rsid w:val="00AF2268"/>
    <w:rsid w:val="00AF26C2"/>
    <w:rsid w:val="00AF2A8A"/>
    <w:rsid w:val="00AF31BC"/>
    <w:rsid w:val="00AF6B67"/>
    <w:rsid w:val="00AF6F4C"/>
    <w:rsid w:val="00AF702F"/>
    <w:rsid w:val="00AF73CE"/>
    <w:rsid w:val="00B00A2F"/>
    <w:rsid w:val="00B00B9E"/>
    <w:rsid w:val="00B013CA"/>
    <w:rsid w:val="00B0223A"/>
    <w:rsid w:val="00B02DFA"/>
    <w:rsid w:val="00B035EF"/>
    <w:rsid w:val="00B036F3"/>
    <w:rsid w:val="00B03DD4"/>
    <w:rsid w:val="00B04DFC"/>
    <w:rsid w:val="00B051F5"/>
    <w:rsid w:val="00B06905"/>
    <w:rsid w:val="00B072DA"/>
    <w:rsid w:val="00B10187"/>
    <w:rsid w:val="00B10A03"/>
    <w:rsid w:val="00B1118B"/>
    <w:rsid w:val="00B121F4"/>
    <w:rsid w:val="00B13146"/>
    <w:rsid w:val="00B15374"/>
    <w:rsid w:val="00B156D6"/>
    <w:rsid w:val="00B1576D"/>
    <w:rsid w:val="00B163EB"/>
    <w:rsid w:val="00B22015"/>
    <w:rsid w:val="00B22F3A"/>
    <w:rsid w:val="00B23167"/>
    <w:rsid w:val="00B237CD"/>
    <w:rsid w:val="00B23A22"/>
    <w:rsid w:val="00B23F92"/>
    <w:rsid w:val="00B241E5"/>
    <w:rsid w:val="00B24734"/>
    <w:rsid w:val="00B24781"/>
    <w:rsid w:val="00B24D32"/>
    <w:rsid w:val="00B24DA4"/>
    <w:rsid w:val="00B25B75"/>
    <w:rsid w:val="00B265D2"/>
    <w:rsid w:val="00B2748B"/>
    <w:rsid w:val="00B30329"/>
    <w:rsid w:val="00B31CD8"/>
    <w:rsid w:val="00B32AF3"/>
    <w:rsid w:val="00B32C6C"/>
    <w:rsid w:val="00B33CEE"/>
    <w:rsid w:val="00B33DDD"/>
    <w:rsid w:val="00B33FFA"/>
    <w:rsid w:val="00B340A9"/>
    <w:rsid w:val="00B35BD0"/>
    <w:rsid w:val="00B36E4E"/>
    <w:rsid w:val="00B37CE0"/>
    <w:rsid w:val="00B435DE"/>
    <w:rsid w:val="00B43EF8"/>
    <w:rsid w:val="00B449B7"/>
    <w:rsid w:val="00B4522F"/>
    <w:rsid w:val="00B4627E"/>
    <w:rsid w:val="00B46625"/>
    <w:rsid w:val="00B50193"/>
    <w:rsid w:val="00B50A2A"/>
    <w:rsid w:val="00B561EE"/>
    <w:rsid w:val="00B56E0D"/>
    <w:rsid w:val="00B57B01"/>
    <w:rsid w:val="00B60809"/>
    <w:rsid w:val="00B6098B"/>
    <w:rsid w:val="00B62B72"/>
    <w:rsid w:val="00B6397B"/>
    <w:rsid w:val="00B640DB"/>
    <w:rsid w:val="00B64926"/>
    <w:rsid w:val="00B653FE"/>
    <w:rsid w:val="00B663F7"/>
    <w:rsid w:val="00B66C04"/>
    <w:rsid w:val="00B6707C"/>
    <w:rsid w:val="00B670CD"/>
    <w:rsid w:val="00B67481"/>
    <w:rsid w:val="00B70D4E"/>
    <w:rsid w:val="00B714C1"/>
    <w:rsid w:val="00B74A6C"/>
    <w:rsid w:val="00B76A8C"/>
    <w:rsid w:val="00B77EED"/>
    <w:rsid w:val="00B80C53"/>
    <w:rsid w:val="00B823B3"/>
    <w:rsid w:val="00B8252B"/>
    <w:rsid w:val="00B83858"/>
    <w:rsid w:val="00B84D80"/>
    <w:rsid w:val="00B84EDF"/>
    <w:rsid w:val="00B86CFE"/>
    <w:rsid w:val="00B86EAB"/>
    <w:rsid w:val="00B90B9F"/>
    <w:rsid w:val="00B90F7D"/>
    <w:rsid w:val="00B91852"/>
    <w:rsid w:val="00B929EB"/>
    <w:rsid w:val="00B9555C"/>
    <w:rsid w:val="00B97284"/>
    <w:rsid w:val="00B97BD2"/>
    <w:rsid w:val="00BA07A3"/>
    <w:rsid w:val="00BA0FFF"/>
    <w:rsid w:val="00BA2771"/>
    <w:rsid w:val="00BA3CF5"/>
    <w:rsid w:val="00BA411D"/>
    <w:rsid w:val="00BA41FD"/>
    <w:rsid w:val="00BA4BC2"/>
    <w:rsid w:val="00BA5615"/>
    <w:rsid w:val="00BA57F1"/>
    <w:rsid w:val="00BA6146"/>
    <w:rsid w:val="00BB064A"/>
    <w:rsid w:val="00BB0E60"/>
    <w:rsid w:val="00BB1166"/>
    <w:rsid w:val="00BB2834"/>
    <w:rsid w:val="00BB2A69"/>
    <w:rsid w:val="00BB2B68"/>
    <w:rsid w:val="00BB2DAF"/>
    <w:rsid w:val="00BB3A61"/>
    <w:rsid w:val="00BB45A1"/>
    <w:rsid w:val="00BB5DA0"/>
    <w:rsid w:val="00BB671C"/>
    <w:rsid w:val="00BC00DE"/>
    <w:rsid w:val="00BC1EE3"/>
    <w:rsid w:val="00BC2DFF"/>
    <w:rsid w:val="00BC4EC4"/>
    <w:rsid w:val="00BC577C"/>
    <w:rsid w:val="00BC7741"/>
    <w:rsid w:val="00BD023A"/>
    <w:rsid w:val="00BD0799"/>
    <w:rsid w:val="00BD17BD"/>
    <w:rsid w:val="00BD299A"/>
    <w:rsid w:val="00BD37E4"/>
    <w:rsid w:val="00BD3C08"/>
    <w:rsid w:val="00BD4821"/>
    <w:rsid w:val="00BD4826"/>
    <w:rsid w:val="00BD52B6"/>
    <w:rsid w:val="00BD5585"/>
    <w:rsid w:val="00BD59D1"/>
    <w:rsid w:val="00BD5BE9"/>
    <w:rsid w:val="00BD628D"/>
    <w:rsid w:val="00BD6346"/>
    <w:rsid w:val="00BD64B1"/>
    <w:rsid w:val="00BD6B26"/>
    <w:rsid w:val="00BE09F0"/>
    <w:rsid w:val="00BE0E34"/>
    <w:rsid w:val="00BE1015"/>
    <w:rsid w:val="00BE1539"/>
    <w:rsid w:val="00BE161C"/>
    <w:rsid w:val="00BE1999"/>
    <w:rsid w:val="00BE2EF4"/>
    <w:rsid w:val="00BE44ED"/>
    <w:rsid w:val="00BE5777"/>
    <w:rsid w:val="00BE7183"/>
    <w:rsid w:val="00BE76B7"/>
    <w:rsid w:val="00BF1AEB"/>
    <w:rsid w:val="00BF1D18"/>
    <w:rsid w:val="00BF3A35"/>
    <w:rsid w:val="00BF4713"/>
    <w:rsid w:val="00BF472B"/>
    <w:rsid w:val="00BF4EB4"/>
    <w:rsid w:val="00BF6031"/>
    <w:rsid w:val="00BF620D"/>
    <w:rsid w:val="00BF6C59"/>
    <w:rsid w:val="00BF7564"/>
    <w:rsid w:val="00C000AB"/>
    <w:rsid w:val="00C0250B"/>
    <w:rsid w:val="00C0320E"/>
    <w:rsid w:val="00C045EF"/>
    <w:rsid w:val="00C060A7"/>
    <w:rsid w:val="00C0623C"/>
    <w:rsid w:val="00C06E2E"/>
    <w:rsid w:val="00C070DF"/>
    <w:rsid w:val="00C070F1"/>
    <w:rsid w:val="00C074C6"/>
    <w:rsid w:val="00C075E0"/>
    <w:rsid w:val="00C07BFF"/>
    <w:rsid w:val="00C1271C"/>
    <w:rsid w:val="00C202E5"/>
    <w:rsid w:val="00C2099A"/>
    <w:rsid w:val="00C20DA9"/>
    <w:rsid w:val="00C22EAE"/>
    <w:rsid w:val="00C279DA"/>
    <w:rsid w:val="00C31BE4"/>
    <w:rsid w:val="00C324EE"/>
    <w:rsid w:val="00C3410F"/>
    <w:rsid w:val="00C35CF7"/>
    <w:rsid w:val="00C36259"/>
    <w:rsid w:val="00C36F76"/>
    <w:rsid w:val="00C376A3"/>
    <w:rsid w:val="00C407FE"/>
    <w:rsid w:val="00C408B3"/>
    <w:rsid w:val="00C411C8"/>
    <w:rsid w:val="00C4134E"/>
    <w:rsid w:val="00C41E1B"/>
    <w:rsid w:val="00C4249D"/>
    <w:rsid w:val="00C42DD3"/>
    <w:rsid w:val="00C4339F"/>
    <w:rsid w:val="00C458EC"/>
    <w:rsid w:val="00C47A9A"/>
    <w:rsid w:val="00C47BF9"/>
    <w:rsid w:val="00C50602"/>
    <w:rsid w:val="00C5139E"/>
    <w:rsid w:val="00C52A5E"/>
    <w:rsid w:val="00C54766"/>
    <w:rsid w:val="00C551AE"/>
    <w:rsid w:val="00C554FC"/>
    <w:rsid w:val="00C572DF"/>
    <w:rsid w:val="00C5735C"/>
    <w:rsid w:val="00C573A8"/>
    <w:rsid w:val="00C57A3E"/>
    <w:rsid w:val="00C613E5"/>
    <w:rsid w:val="00C636EC"/>
    <w:rsid w:val="00C65ED9"/>
    <w:rsid w:val="00C6760B"/>
    <w:rsid w:val="00C71718"/>
    <w:rsid w:val="00C723DD"/>
    <w:rsid w:val="00C72BBF"/>
    <w:rsid w:val="00C72FBF"/>
    <w:rsid w:val="00C752D4"/>
    <w:rsid w:val="00C75867"/>
    <w:rsid w:val="00C768C8"/>
    <w:rsid w:val="00C777A1"/>
    <w:rsid w:val="00C77C50"/>
    <w:rsid w:val="00C81923"/>
    <w:rsid w:val="00C83188"/>
    <w:rsid w:val="00C83A82"/>
    <w:rsid w:val="00C84E74"/>
    <w:rsid w:val="00C84EB1"/>
    <w:rsid w:val="00C85781"/>
    <w:rsid w:val="00C8626A"/>
    <w:rsid w:val="00C86F78"/>
    <w:rsid w:val="00C87991"/>
    <w:rsid w:val="00C923F0"/>
    <w:rsid w:val="00C92495"/>
    <w:rsid w:val="00C94382"/>
    <w:rsid w:val="00C94DA5"/>
    <w:rsid w:val="00C97028"/>
    <w:rsid w:val="00C97C1D"/>
    <w:rsid w:val="00CA047A"/>
    <w:rsid w:val="00CA095D"/>
    <w:rsid w:val="00CA0BD5"/>
    <w:rsid w:val="00CA15DD"/>
    <w:rsid w:val="00CA2DA5"/>
    <w:rsid w:val="00CA30BC"/>
    <w:rsid w:val="00CA4C6A"/>
    <w:rsid w:val="00CA5219"/>
    <w:rsid w:val="00CA5C6A"/>
    <w:rsid w:val="00CA5FD3"/>
    <w:rsid w:val="00CA6988"/>
    <w:rsid w:val="00CA7DA5"/>
    <w:rsid w:val="00CB1959"/>
    <w:rsid w:val="00CB1C86"/>
    <w:rsid w:val="00CB2B52"/>
    <w:rsid w:val="00CB49C1"/>
    <w:rsid w:val="00CB4D49"/>
    <w:rsid w:val="00CB696E"/>
    <w:rsid w:val="00CC04E6"/>
    <w:rsid w:val="00CC0CBD"/>
    <w:rsid w:val="00CC0F04"/>
    <w:rsid w:val="00CC10D8"/>
    <w:rsid w:val="00CC14BF"/>
    <w:rsid w:val="00CC1EAA"/>
    <w:rsid w:val="00CC39E7"/>
    <w:rsid w:val="00CC451F"/>
    <w:rsid w:val="00CC4600"/>
    <w:rsid w:val="00CC4CE8"/>
    <w:rsid w:val="00CC4F89"/>
    <w:rsid w:val="00CC572A"/>
    <w:rsid w:val="00CD111F"/>
    <w:rsid w:val="00CD1801"/>
    <w:rsid w:val="00CD5A84"/>
    <w:rsid w:val="00CD5D8E"/>
    <w:rsid w:val="00CD7A81"/>
    <w:rsid w:val="00CE0575"/>
    <w:rsid w:val="00CE11E1"/>
    <w:rsid w:val="00CE15A2"/>
    <w:rsid w:val="00CE181F"/>
    <w:rsid w:val="00CE27CC"/>
    <w:rsid w:val="00CE4D29"/>
    <w:rsid w:val="00CE4D52"/>
    <w:rsid w:val="00CE5C0F"/>
    <w:rsid w:val="00CE6FD4"/>
    <w:rsid w:val="00CF1661"/>
    <w:rsid w:val="00CF4286"/>
    <w:rsid w:val="00CF52F5"/>
    <w:rsid w:val="00CF5553"/>
    <w:rsid w:val="00CF7587"/>
    <w:rsid w:val="00CF7F6C"/>
    <w:rsid w:val="00D001D8"/>
    <w:rsid w:val="00D013C3"/>
    <w:rsid w:val="00D023AF"/>
    <w:rsid w:val="00D04A6E"/>
    <w:rsid w:val="00D04E8C"/>
    <w:rsid w:val="00D066CA"/>
    <w:rsid w:val="00D066F4"/>
    <w:rsid w:val="00D073FF"/>
    <w:rsid w:val="00D10508"/>
    <w:rsid w:val="00D11624"/>
    <w:rsid w:val="00D11E5A"/>
    <w:rsid w:val="00D13C21"/>
    <w:rsid w:val="00D13E80"/>
    <w:rsid w:val="00D13EC8"/>
    <w:rsid w:val="00D13F1A"/>
    <w:rsid w:val="00D142D3"/>
    <w:rsid w:val="00D14D51"/>
    <w:rsid w:val="00D16AE2"/>
    <w:rsid w:val="00D16DA7"/>
    <w:rsid w:val="00D16EB8"/>
    <w:rsid w:val="00D21571"/>
    <w:rsid w:val="00D21BF7"/>
    <w:rsid w:val="00D21DF7"/>
    <w:rsid w:val="00D22A0D"/>
    <w:rsid w:val="00D2559B"/>
    <w:rsid w:val="00D30122"/>
    <w:rsid w:val="00D3083D"/>
    <w:rsid w:val="00D30C32"/>
    <w:rsid w:val="00D321A9"/>
    <w:rsid w:val="00D3422D"/>
    <w:rsid w:val="00D3569F"/>
    <w:rsid w:val="00D36BD1"/>
    <w:rsid w:val="00D36DB3"/>
    <w:rsid w:val="00D37090"/>
    <w:rsid w:val="00D4120B"/>
    <w:rsid w:val="00D42C84"/>
    <w:rsid w:val="00D43F81"/>
    <w:rsid w:val="00D453C8"/>
    <w:rsid w:val="00D45791"/>
    <w:rsid w:val="00D45F1B"/>
    <w:rsid w:val="00D465F1"/>
    <w:rsid w:val="00D51041"/>
    <w:rsid w:val="00D51EB2"/>
    <w:rsid w:val="00D525F2"/>
    <w:rsid w:val="00D526F1"/>
    <w:rsid w:val="00D53F94"/>
    <w:rsid w:val="00D542F4"/>
    <w:rsid w:val="00D54F02"/>
    <w:rsid w:val="00D551E9"/>
    <w:rsid w:val="00D55FEA"/>
    <w:rsid w:val="00D56672"/>
    <w:rsid w:val="00D56E75"/>
    <w:rsid w:val="00D6067A"/>
    <w:rsid w:val="00D60861"/>
    <w:rsid w:val="00D6360B"/>
    <w:rsid w:val="00D65358"/>
    <w:rsid w:val="00D6584D"/>
    <w:rsid w:val="00D65B1C"/>
    <w:rsid w:val="00D65C2A"/>
    <w:rsid w:val="00D70AAF"/>
    <w:rsid w:val="00D715D7"/>
    <w:rsid w:val="00D718ED"/>
    <w:rsid w:val="00D72D8C"/>
    <w:rsid w:val="00D73644"/>
    <w:rsid w:val="00D73CB9"/>
    <w:rsid w:val="00D741D8"/>
    <w:rsid w:val="00D75115"/>
    <w:rsid w:val="00D75354"/>
    <w:rsid w:val="00D7606F"/>
    <w:rsid w:val="00D7689B"/>
    <w:rsid w:val="00D769C6"/>
    <w:rsid w:val="00D77D64"/>
    <w:rsid w:val="00D81F21"/>
    <w:rsid w:val="00D84633"/>
    <w:rsid w:val="00D846B1"/>
    <w:rsid w:val="00D8489B"/>
    <w:rsid w:val="00D84F96"/>
    <w:rsid w:val="00D856D7"/>
    <w:rsid w:val="00D87094"/>
    <w:rsid w:val="00D8745B"/>
    <w:rsid w:val="00D90906"/>
    <w:rsid w:val="00D91338"/>
    <w:rsid w:val="00D91A4D"/>
    <w:rsid w:val="00D923D9"/>
    <w:rsid w:val="00D93409"/>
    <w:rsid w:val="00D93E10"/>
    <w:rsid w:val="00D94469"/>
    <w:rsid w:val="00D9453D"/>
    <w:rsid w:val="00D949D4"/>
    <w:rsid w:val="00D95A92"/>
    <w:rsid w:val="00D9632D"/>
    <w:rsid w:val="00D9786F"/>
    <w:rsid w:val="00DA0AE1"/>
    <w:rsid w:val="00DA40AE"/>
    <w:rsid w:val="00DA47AB"/>
    <w:rsid w:val="00DA62F5"/>
    <w:rsid w:val="00DA6AFC"/>
    <w:rsid w:val="00DA7F5D"/>
    <w:rsid w:val="00DB0BAE"/>
    <w:rsid w:val="00DB1153"/>
    <w:rsid w:val="00DB12AC"/>
    <w:rsid w:val="00DB15B5"/>
    <w:rsid w:val="00DB1CE7"/>
    <w:rsid w:val="00DB1DA4"/>
    <w:rsid w:val="00DB3126"/>
    <w:rsid w:val="00DB3EDB"/>
    <w:rsid w:val="00DB5A22"/>
    <w:rsid w:val="00DB651D"/>
    <w:rsid w:val="00DB7913"/>
    <w:rsid w:val="00DB7A48"/>
    <w:rsid w:val="00DC03F6"/>
    <w:rsid w:val="00DC168F"/>
    <w:rsid w:val="00DC4484"/>
    <w:rsid w:val="00DC457E"/>
    <w:rsid w:val="00DC4C0D"/>
    <w:rsid w:val="00DC6193"/>
    <w:rsid w:val="00DC63B3"/>
    <w:rsid w:val="00DD05AF"/>
    <w:rsid w:val="00DD1DCB"/>
    <w:rsid w:val="00DD3691"/>
    <w:rsid w:val="00DD520A"/>
    <w:rsid w:val="00DD55EC"/>
    <w:rsid w:val="00DD6482"/>
    <w:rsid w:val="00DD7BB4"/>
    <w:rsid w:val="00DD7E28"/>
    <w:rsid w:val="00DE0202"/>
    <w:rsid w:val="00DE1C60"/>
    <w:rsid w:val="00DE2E9B"/>
    <w:rsid w:val="00DE5A38"/>
    <w:rsid w:val="00DE61A1"/>
    <w:rsid w:val="00DE7AD0"/>
    <w:rsid w:val="00DE7CF4"/>
    <w:rsid w:val="00DF0B25"/>
    <w:rsid w:val="00DF20A8"/>
    <w:rsid w:val="00DF4851"/>
    <w:rsid w:val="00DF4B94"/>
    <w:rsid w:val="00DF5A18"/>
    <w:rsid w:val="00DF66B5"/>
    <w:rsid w:val="00E02A04"/>
    <w:rsid w:val="00E0358E"/>
    <w:rsid w:val="00E04A1E"/>
    <w:rsid w:val="00E05DB8"/>
    <w:rsid w:val="00E079D2"/>
    <w:rsid w:val="00E07CC2"/>
    <w:rsid w:val="00E101CD"/>
    <w:rsid w:val="00E11302"/>
    <w:rsid w:val="00E11BFD"/>
    <w:rsid w:val="00E12B6C"/>
    <w:rsid w:val="00E133AC"/>
    <w:rsid w:val="00E152E6"/>
    <w:rsid w:val="00E15EE3"/>
    <w:rsid w:val="00E22249"/>
    <w:rsid w:val="00E2232F"/>
    <w:rsid w:val="00E22FAC"/>
    <w:rsid w:val="00E23FC0"/>
    <w:rsid w:val="00E246F1"/>
    <w:rsid w:val="00E24B2C"/>
    <w:rsid w:val="00E2601B"/>
    <w:rsid w:val="00E261EC"/>
    <w:rsid w:val="00E26C50"/>
    <w:rsid w:val="00E315D4"/>
    <w:rsid w:val="00E3214F"/>
    <w:rsid w:val="00E32577"/>
    <w:rsid w:val="00E33050"/>
    <w:rsid w:val="00E33439"/>
    <w:rsid w:val="00E337B2"/>
    <w:rsid w:val="00E34230"/>
    <w:rsid w:val="00E360F8"/>
    <w:rsid w:val="00E36264"/>
    <w:rsid w:val="00E37D68"/>
    <w:rsid w:val="00E4039B"/>
    <w:rsid w:val="00E41C07"/>
    <w:rsid w:val="00E41D73"/>
    <w:rsid w:val="00E427F3"/>
    <w:rsid w:val="00E44DD9"/>
    <w:rsid w:val="00E45DF2"/>
    <w:rsid w:val="00E465DD"/>
    <w:rsid w:val="00E51D91"/>
    <w:rsid w:val="00E52513"/>
    <w:rsid w:val="00E533B0"/>
    <w:rsid w:val="00E53D79"/>
    <w:rsid w:val="00E54C77"/>
    <w:rsid w:val="00E55340"/>
    <w:rsid w:val="00E5590E"/>
    <w:rsid w:val="00E56329"/>
    <w:rsid w:val="00E57C93"/>
    <w:rsid w:val="00E602F3"/>
    <w:rsid w:val="00E61F05"/>
    <w:rsid w:val="00E62B05"/>
    <w:rsid w:val="00E62C2E"/>
    <w:rsid w:val="00E632F2"/>
    <w:rsid w:val="00E63812"/>
    <w:rsid w:val="00E6382D"/>
    <w:rsid w:val="00E64467"/>
    <w:rsid w:val="00E65AFD"/>
    <w:rsid w:val="00E66001"/>
    <w:rsid w:val="00E6714A"/>
    <w:rsid w:val="00E705F5"/>
    <w:rsid w:val="00E70DF7"/>
    <w:rsid w:val="00E72BFD"/>
    <w:rsid w:val="00E735E7"/>
    <w:rsid w:val="00E73835"/>
    <w:rsid w:val="00E750D6"/>
    <w:rsid w:val="00E75817"/>
    <w:rsid w:val="00E75C15"/>
    <w:rsid w:val="00E76D30"/>
    <w:rsid w:val="00E827C6"/>
    <w:rsid w:val="00E83591"/>
    <w:rsid w:val="00E835DB"/>
    <w:rsid w:val="00E84054"/>
    <w:rsid w:val="00E854DA"/>
    <w:rsid w:val="00E85850"/>
    <w:rsid w:val="00E85F60"/>
    <w:rsid w:val="00E8752D"/>
    <w:rsid w:val="00E91AF3"/>
    <w:rsid w:val="00E9264B"/>
    <w:rsid w:val="00E928CF"/>
    <w:rsid w:val="00E95835"/>
    <w:rsid w:val="00E97276"/>
    <w:rsid w:val="00E97422"/>
    <w:rsid w:val="00E977C7"/>
    <w:rsid w:val="00EA06A3"/>
    <w:rsid w:val="00EA2222"/>
    <w:rsid w:val="00EA3FE7"/>
    <w:rsid w:val="00EA457A"/>
    <w:rsid w:val="00EA6C87"/>
    <w:rsid w:val="00EA77BD"/>
    <w:rsid w:val="00EB0F35"/>
    <w:rsid w:val="00EB4244"/>
    <w:rsid w:val="00EB4C6F"/>
    <w:rsid w:val="00EB6D3E"/>
    <w:rsid w:val="00EB7B02"/>
    <w:rsid w:val="00EC06FD"/>
    <w:rsid w:val="00EC20DD"/>
    <w:rsid w:val="00EC279A"/>
    <w:rsid w:val="00EC51B9"/>
    <w:rsid w:val="00EC755E"/>
    <w:rsid w:val="00EC78BC"/>
    <w:rsid w:val="00EC7A9B"/>
    <w:rsid w:val="00ED082C"/>
    <w:rsid w:val="00ED09E7"/>
    <w:rsid w:val="00ED1167"/>
    <w:rsid w:val="00ED16A8"/>
    <w:rsid w:val="00ED1E1E"/>
    <w:rsid w:val="00ED1EF4"/>
    <w:rsid w:val="00ED229F"/>
    <w:rsid w:val="00ED32A8"/>
    <w:rsid w:val="00ED373D"/>
    <w:rsid w:val="00ED49B2"/>
    <w:rsid w:val="00ED4C73"/>
    <w:rsid w:val="00ED596E"/>
    <w:rsid w:val="00ED5D8C"/>
    <w:rsid w:val="00ED7532"/>
    <w:rsid w:val="00EE012B"/>
    <w:rsid w:val="00EE04A7"/>
    <w:rsid w:val="00EE07C8"/>
    <w:rsid w:val="00EE0FCB"/>
    <w:rsid w:val="00EE1410"/>
    <w:rsid w:val="00EE19A6"/>
    <w:rsid w:val="00EE353D"/>
    <w:rsid w:val="00EE3BAC"/>
    <w:rsid w:val="00EE3D3A"/>
    <w:rsid w:val="00EE40D1"/>
    <w:rsid w:val="00EE442F"/>
    <w:rsid w:val="00EE4B44"/>
    <w:rsid w:val="00EE5B28"/>
    <w:rsid w:val="00EE7228"/>
    <w:rsid w:val="00EE771C"/>
    <w:rsid w:val="00EF337E"/>
    <w:rsid w:val="00EF3FFF"/>
    <w:rsid w:val="00EF4758"/>
    <w:rsid w:val="00EF5160"/>
    <w:rsid w:val="00EF552B"/>
    <w:rsid w:val="00EF5D48"/>
    <w:rsid w:val="00F0007C"/>
    <w:rsid w:val="00F021F4"/>
    <w:rsid w:val="00F042FE"/>
    <w:rsid w:val="00F04634"/>
    <w:rsid w:val="00F04655"/>
    <w:rsid w:val="00F067C4"/>
    <w:rsid w:val="00F07FF8"/>
    <w:rsid w:val="00F100CE"/>
    <w:rsid w:val="00F1016A"/>
    <w:rsid w:val="00F10A52"/>
    <w:rsid w:val="00F1160F"/>
    <w:rsid w:val="00F12A58"/>
    <w:rsid w:val="00F13772"/>
    <w:rsid w:val="00F149CA"/>
    <w:rsid w:val="00F1524F"/>
    <w:rsid w:val="00F15493"/>
    <w:rsid w:val="00F15D65"/>
    <w:rsid w:val="00F165EC"/>
    <w:rsid w:val="00F17E99"/>
    <w:rsid w:val="00F2026F"/>
    <w:rsid w:val="00F207F3"/>
    <w:rsid w:val="00F2083A"/>
    <w:rsid w:val="00F21D90"/>
    <w:rsid w:val="00F2279F"/>
    <w:rsid w:val="00F2358A"/>
    <w:rsid w:val="00F26159"/>
    <w:rsid w:val="00F267DC"/>
    <w:rsid w:val="00F31B83"/>
    <w:rsid w:val="00F32165"/>
    <w:rsid w:val="00F3460B"/>
    <w:rsid w:val="00F35545"/>
    <w:rsid w:val="00F35E08"/>
    <w:rsid w:val="00F36CB9"/>
    <w:rsid w:val="00F37B85"/>
    <w:rsid w:val="00F37C2C"/>
    <w:rsid w:val="00F37F56"/>
    <w:rsid w:val="00F4057F"/>
    <w:rsid w:val="00F41D28"/>
    <w:rsid w:val="00F44E4A"/>
    <w:rsid w:val="00F4678E"/>
    <w:rsid w:val="00F468C9"/>
    <w:rsid w:val="00F46C20"/>
    <w:rsid w:val="00F47D2D"/>
    <w:rsid w:val="00F5343B"/>
    <w:rsid w:val="00F542E3"/>
    <w:rsid w:val="00F54677"/>
    <w:rsid w:val="00F55D84"/>
    <w:rsid w:val="00F5657C"/>
    <w:rsid w:val="00F570D2"/>
    <w:rsid w:val="00F60601"/>
    <w:rsid w:val="00F60DB3"/>
    <w:rsid w:val="00F62755"/>
    <w:rsid w:val="00F63525"/>
    <w:rsid w:val="00F65CC9"/>
    <w:rsid w:val="00F67F10"/>
    <w:rsid w:val="00F71BCC"/>
    <w:rsid w:val="00F739EA"/>
    <w:rsid w:val="00F73D2D"/>
    <w:rsid w:val="00F748CF"/>
    <w:rsid w:val="00F74B9E"/>
    <w:rsid w:val="00F80AA4"/>
    <w:rsid w:val="00F817BA"/>
    <w:rsid w:val="00F81F35"/>
    <w:rsid w:val="00F82868"/>
    <w:rsid w:val="00F82C8C"/>
    <w:rsid w:val="00F833FB"/>
    <w:rsid w:val="00F8398E"/>
    <w:rsid w:val="00F84B63"/>
    <w:rsid w:val="00F8589B"/>
    <w:rsid w:val="00F85D4B"/>
    <w:rsid w:val="00F85F85"/>
    <w:rsid w:val="00F86103"/>
    <w:rsid w:val="00F87262"/>
    <w:rsid w:val="00F9063A"/>
    <w:rsid w:val="00F90933"/>
    <w:rsid w:val="00F90E7C"/>
    <w:rsid w:val="00F9389D"/>
    <w:rsid w:val="00F93AD1"/>
    <w:rsid w:val="00F941E4"/>
    <w:rsid w:val="00F94F4A"/>
    <w:rsid w:val="00F95FE2"/>
    <w:rsid w:val="00F970AA"/>
    <w:rsid w:val="00FA1D3F"/>
    <w:rsid w:val="00FA21C4"/>
    <w:rsid w:val="00FA2DAD"/>
    <w:rsid w:val="00FA6458"/>
    <w:rsid w:val="00FA6617"/>
    <w:rsid w:val="00FA66EC"/>
    <w:rsid w:val="00FA7629"/>
    <w:rsid w:val="00FB0069"/>
    <w:rsid w:val="00FB1B6B"/>
    <w:rsid w:val="00FB1E2B"/>
    <w:rsid w:val="00FB21F1"/>
    <w:rsid w:val="00FB367F"/>
    <w:rsid w:val="00FB547C"/>
    <w:rsid w:val="00FB5E04"/>
    <w:rsid w:val="00FB5E97"/>
    <w:rsid w:val="00FB6E54"/>
    <w:rsid w:val="00FB76AD"/>
    <w:rsid w:val="00FB7830"/>
    <w:rsid w:val="00FB78A4"/>
    <w:rsid w:val="00FB7A2B"/>
    <w:rsid w:val="00FC0A15"/>
    <w:rsid w:val="00FC0F0E"/>
    <w:rsid w:val="00FC1851"/>
    <w:rsid w:val="00FC26DF"/>
    <w:rsid w:val="00FC2CAA"/>
    <w:rsid w:val="00FC3E6C"/>
    <w:rsid w:val="00FC3F34"/>
    <w:rsid w:val="00FC5436"/>
    <w:rsid w:val="00FC7D1D"/>
    <w:rsid w:val="00FC7D61"/>
    <w:rsid w:val="00FD0214"/>
    <w:rsid w:val="00FD1601"/>
    <w:rsid w:val="00FD2ACA"/>
    <w:rsid w:val="00FD44E0"/>
    <w:rsid w:val="00FD6974"/>
    <w:rsid w:val="00FD69AB"/>
    <w:rsid w:val="00FD7CE2"/>
    <w:rsid w:val="00FE1ED3"/>
    <w:rsid w:val="00FE215E"/>
    <w:rsid w:val="00FE2451"/>
    <w:rsid w:val="00FE324A"/>
    <w:rsid w:val="00FE4394"/>
    <w:rsid w:val="00FE70D9"/>
    <w:rsid w:val="00FE7B7D"/>
    <w:rsid w:val="00FF0378"/>
    <w:rsid w:val="00FF225C"/>
    <w:rsid w:val="00FF26A7"/>
    <w:rsid w:val="00FF33F0"/>
    <w:rsid w:val="00FF3AB8"/>
    <w:rsid w:val="00FF4AE3"/>
    <w:rsid w:val="00FF50B8"/>
    <w:rsid w:val="00FF5425"/>
    <w:rsid w:val="00FF5D57"/>
    <w:rsid w:val="00FF62A8"/>
    <w:rsid w:val="00FF66B5"/>
    <w:rsid w:val="00FF6ECC"/>
    <w:rsid w:val="00FF71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31671A3"/>
  <w15:docId w15:val="{DF3DCD0C-4F75-4641-8A23-47411A91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A0E"/>
    <w:pPr>
      <w:widowControl w:val="0"/>
      <w:spacing w:after="120"/>
      <w:ind w:left="567"/>
      <w:jc w:val="both"/>
    </w:pPr>
    <w:rPr>
      <w:rFonts w:ascii="Arial" w:hAnsi="Arial" w:cs="Arial"/>
      <w:sz w:val="24"/>
      <w:szCs w:val="22"/>
      <w:lang w:val="es-MX"/>
    </w:rPr>
  </w:style>
  <w:style w:type="paragraph" w:styleId="Ttulo1">
    <w:name w:val="heading 1"/>
    <w:aliases w:val="título 1"/>
    <w:basedOn w:val="Subttulo"/>
    <w:next w:val="Normal"/>
    <w:link w:val="Ttulo1Car"/>
    <w:qFormat/>
    <w:rsid w:val="00B1576D"/>
    <w:pPr>
      <w:numPr>
        <w:numId w:val="8"/>
      </w:numPr>
      <w:outlineLvl w:val="0"/>
    </w:pPr>
    <w:rPr>
      <w:snapToGrid w:val="0"/>
    </w:rPr>
  </w:style>
  <w:style w:type="paragraph" w:styleId="Ttulo2">
    <w:name w:val="heading 2"/>
    <w:basedOn w:val="Ttulo1"/>
    <w:next w:val="Normal"/>
    <w:link w:val="Ttulo2Car"/>
    <w:qFormat/>
    <w:rsid w:val="00946400"/>
    <w:pPr>
      <w:numPr>
        <w:ilvl w:val="1"/>
      </w:numPr>
      <w:pBdr>
        <w:bottom w:val="none" w:sz="0" w:space="0" w:color="auto"/>
      </w:pBdr>
      <w:spacing w:before="600"/>
      <w:ind w:left="851" w:hanging="851"/>
      <w:outlineLvl w:val="1"/>
    </w:pPr>
    <w:rPr>
      <w:sz w:val="24"/>
      <w:szCs w:val="24"/>
    </w:rPr>
  </w:style>
  <w:style w:type="paragraph" w:styleId="Ttulo3">
    <w:name w:val="heading 3"/>
    <w:basedOn w:val="Ttulo2"/>
    <w:next w:val="Normal"/>
    <w:qFormat/>
    <w:rsid w:val="00CA047A"/>
    <w:pPr>
      <w:numPr>
        <w:ilvl w:val="2"/>
      </w:numPr>
      <w:ind w:left="1418" w:hanging="851"/>
      <w:outlineLvl w:val="2"/>
    </w:pPr>
    <w:rPr>
      <w:caps w:val="0"/>
      <w:lang w:eastAsia="es-CL"/>
    </w:rPr>
  </w:style>
  <w:style w:type="paragraph" w:styleId="Ttulo4">
    <w:name w:val="heading 4"/>
    <w:basedOn w:val="Normal"/>
    <w:next w:val="Normal"/>
    <w:qFormat/>
    <w:rsid w:val="00C8626A"/>
    <w:pPr>
      <w:spacing w:before="120" w:after="240"/>
      <w:outlineLvl w:val="3"/>
    </w:pPr>
    <w:rPr>
      <w:u w:val="single"/>
    </w:rPr>
  </w:style>
  <w:style w:type="paragraph" w:styleId="Ttulo5">
    <w:name w:val="heading 5"/>
    <w:basedOn w:val="Normal"/>
    <w:next w:val="Normal"/>
    <w:qFormat/>
    <w:pPr>
      <w:keepNext/>
      <w:widowControl/>
      <w:ind w:left="4253" w:hanging="3827"/>
      <w:jc w:val="center"/>
      <w:outlineLvl w:val="4"/>
    </w:pPr>
    <w:rPr>
      <w:b/>
    </w:rPr>
  </w:style>
  <w:style w:type="paragraph" w:styleId="Ttulo6">
    <w:name w:val="heading 6"/>
    <w:basedOn w:val="Normal"/>
    <w:next w:val="Normal"/>
    <w:qFormat/>
    <w:pPr>
      <w:keepNext/>
      <w:widowControl/>
      <w:outlineLvl w:val="5"/>
    </w:pPr>
  </w:style>
  <w:style w:type="paragraph" w:styleId="Ttulo7">
    <w:name w:val="heading 7"/>
    <w:basedOn w:val="Normal"/>
    <w:next w:val="Normal"/>
    <w:qFormat/>
    <w:pPr>
      <w:keepNext/>
      <w:widowControl/>
      <w:outlineLvl w:val="6"/>
    </w:pPr>
  </w:style>
  <w:style w:type="paragraph" w:styleId="Ttulo8">
    <w:name w:val="heading 8"/>
    <w:basedOn w:val="Normal"/>
    <w:next w:val="Normal"/>
    <w:qFormat/>
    <w:pPr>
      <w:keepNext/>
      <w:ind w:right="618"/>
      <w:jc w:val="center"/>
      <w:outlineLvl w:val="7"/>
    </w:pPr>
    <w:rPr>
      <w:b/>
      <w:sz w:val="16"/>
    </w:rPr>
  </w:style>
  <w:style w:type="paragraph" w:styleId="Ttulo9">
    <w:name w:val="heading 9"/>
    <w:basedOn w:val="Normal"/>
    <w:next w:val="Normal"/>
    <w:qFormat/>
    <w:pPr>
      <w:keepNext/>
      <w:widowControl/>
      <w:outlineLvl w:val="8"/>
    </w:pPr>
    <w:rPr>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customStyle="1" w:styleId="Textoindependiente21">
    <w:name w:val="Texto independiente 21"/>
    <w:basedOn w:val="Normal"/>
    <w:pPr>
      <w:ind w:left="1701" w:hanging="1701"/>
    </w:pPr>
  </w:style>
  <w:style w:type="paragraph" w:customStyle="1" w:styleId="Sangra2detindependiente1">
    <w:name w:val="Sangría 2 de t. independiente1"/>
    <w:basedOn w:val="Normal"/>
    <w:pPr>
      <w:ind w:left="3540"/>
    </w:pPr>
    <w:rPr>
      <w:b/>
    </w:rPr>
  </w:style>
  <w:style w:type="character" w:styleId="Nmerodepgina">
    <w:name w:val="page number"/>
    <w:basedOn w:val="Fuentedeprrafopredeter"/>
  </w:style>
  <w:style w:type="paragraph" w:styleId="Sangradetextonormal">
    <w:name w:val="Body Text Indent"/>
    <w:basedOn w:val="Normal"/>
    <w:pPr>
      <w:ind w:firstLine="4248"/>
    </w:pPr>
  </w:style>
  <w:style w:type="paragraph" w:styleId="Textoindependiente">
    <w:name w:val="Body Text"/>
    <w:basedOn w:val="Normal"/>
    <w:link w:val="TextoindependienteCar1"/>
    <w:pPr>
      <w:widowControl/>
    </w:pPr>
  </w:style>
  <w:style w:type="paragraph" w:styleId="Textodebloque">
    <w:name w:val="Block Text"/>
    <w:basedOn w:val="Normal"/>
    <w:pPr>
      <w:ind w:right="567"/>
    </w:pPr>
    <w:rPr>
      <w:rFonts w:ascii="Tahoma" w:hAnsi="Tahoma"/>
    </w:rPr>
  </w:style>
  <w:style w:type="paragraph" w:styleId="Textoindependiente2">
    <w:name w:val="Body Text 2"/>
    <w:basedOn w:val="Normal"/>
    <w:link w:val="Textoindependiente2Car"/>
    <w:rPr>
      <w:rFonts w:ascii="Tahoma" w:hAnsi="Tahoma"/>
      <w:b/>
    </w:rPr>
  </w:style>
  <w:style w:type="paragraph" w:styleId="Sangra3detindependiente">
    <w:name w:val="Body Text Indent 3"/>
    <w:basedOn w:val="Normal"/>
    <w:pPr>
      <w:widowControl/>
      <w:ind w:left="426"/>
    </w:pPr>
    <w:rPr>
      <w:b/>
    </w:rPr>
  </w:style>
  <w:style w:type="paragraph" w:styleId="Sangra2detindependiente">
    <w:name w:val="Body Text Indent 2"/>
    <w:basedOn w:val="Normal"/>
    <w:pPr>
      <w:ind w:firstLine="4253"/>
    </w:pPr>
    <w:rPr>
      <w:rFonts w:ascii="Tahoma" w:hAnsi="Tahoma"/>
    </w:rPr>
  </w:style>
  <w:style w:type="paragraph" w:styleId="Textoindependiente3">
    <w:name w:val="Body Text 3"/>
    <w:basedOn w:val="Normal"/>
    <w:pPr>
      <w:widowControl/>
    </w:pPr>
  </w:style>
  <w:style w:type="character" w:styleId="Hipervnculo">
    <w:name w:val="Hyperlink"/>
    <w:uiPriority w:val="99"/>
    <w:rPr>
      <w:color w:val="0000FF"/>
      <w:u w:val="single"/>
    </w:rPr>
  </w:style>
  <w:style w:type="paragraph" w:styleId="Listaconvietas2">
    <w:name w:val="List Bullet 2"/>
    <w:basedOn w:val="Normal"/>
    <w:autoRedefine/>
    <w:pPr>
      <w:widowControl/>
      <w:numPr>
        <w:numId w:val="1"/>
      </w:numPr>
    </w:pPr>
    <w:rPr>
      <w:lang w:val="es-ES"/>
    </w:rPr>
  </w:style>
  <w:style w:type="paragraph" w:styleId="Listaconvietas3">
    <w:name w:val="List Bullet 3"/>
    <w:basedOn w:val="Normal"/>
    <w:autoRedefine/>
    <w:pPr>
      <w:widowControl/>
      <w:numPr>
        <w:numId w:val="2"/>
      </w:numPr>
    </w:pPr>
    <w:rPr>
      <w:lang w:val="es-ES"/>
    </w:rPr>
  </w:style>
  <w:style w:type="paragraph" w:styleId="Descripcin">
    <w:name w:val="caption"/>
    <w:basedOn w:val="Normal"/>
    <w:next w:val="Normal"/>
    <w:qFormat/>
    <w:pPr>
      <w:widowControl/>
      <w:overflowPunct w:val="0"/>
      <w:autoSpaceDE w:val="0"/>
      <w:autoSpaceDN w:val="0"/>
      <w:adjustRightInd w:val="0"/>
      <w:textAlignment w:val="baseline"/>
    </w:pPr>
    <w:rPr>
      <w:b/>
      <w:sz w:val="16"/>
    </w:rPr>
  </w:style>
  <w:style w:type="paragraph" w:styleId="Subttulo">
    <w:name w:val="Subtitle"/>
    <w:basedOn w:val="Normal"/>
    <w:qFormat/>
    <w:rsid w:val="006B1115"/>
    <w:pPr>
      <w:widowControl/>
      <w:numPr>
        <w:numId w:val="3"/>
      </w:numPr>
      <w:pBdr>
        <w:bottom w:val="single" w:sz="4" w:space="1" w:color="auto"/>
      </w:pBdr>
      <w:spacing w:after="360"/>
    </w:pPr>
    <w:rPr>
      <w:b/>
      <w:caps/>
      <w:sz w:val="28"/>
    </w:rPr>
  </w:style>
  <w:style w:type="paragraph" w:customStyle="1" w:styleId="COTIZACION">
    <w:name w:val="COTIZACION"/>
    <w:basedOn w:val="Normal"/>
    <w:pPr>
      <w:widowControl/>
    </w:pPr>
  </w:style>
  <w:style w:type="paragraph" w:styleId="Puesto">
    <w:name w:val="Title"/>
    <w:basedOn w:val="Normal"/>
    <w:qFormat/>
    <w:pPr>
      <w:widowControl/>
      <w:pBdr>
        <w:top w:val="single" w:sz="18" w:space="1" w:color="auto"/>
        <w:left w:val="single" w:sz="18" w:space="4" w:color="auto"/>
        <w:bottom w:val="single" w:sz="18" w:space="1" w:color="auto"/>
        <w:right w:val="single" w:sz="18" w:space="4" w:color="auto"/>
      </w:pBdr>
      <w:spacing w:before="240" w:after="60"/>
      <w:ind w:left="360"/>
      <w:jc w:val="center"/>
      <w:outlineLvl w:val="0"/>
    </w:pPr>
    <w:rPr>
      <w:b/>
      <w:kern w:val="28"/>
      <w:sz w:val="36"/>
      <w:lang w:val="es-ES"/>
    </w:rPr>
  </w:style>
  <w:style w:type="paragraph" w:styleId="ndice1">
    <w:name w:val="index 1"/>
    <w:basedOn w:val="Normal"/>
    <w:next w:val="Normal"/>
    <w:autoRedefine/>
    <w:semiHidden/>
    <w:pPr>
      <w:widowControl/>
      <w:ind w:left="220" w:hanging="220"/>
    </w:pPr>
    <w:rPr>
      <w:lang w:val="es-ES"/>
    </w:rPr>
  </w:style>
  <w:style w:type="paragraph" w:styleId="Ttulodendice">
    <w:name w:val="index heading"/>
    <w:basedOn w:val="Normal"/>
    <w:next w:val="ndice1"/>
    <w:semiHidden/>
    <w:pPr>
      <w:widowControl/>
      <w:ind w:left="360"/>
    </w:pPr>
    <w:rPr>
      <w:lang w:val="es-ES"/>
    </w:rPr>
  </w:style>
  <w:style w:type="paragraph" w:customStyle="1" w:styleId="Normal2">
    <w:name w:val="Normal2"/>
    <w:basedOn w:val="Normal"/>
    <w:pPr>
      <w:widowControl/>
    </w:pPr>
    <w:rPr>
      <w:lang w:val="en-GB"/>
    </w:rPr>
  </w:style>
  <w:style w:type="character" w:customStyle="1" w:styleId="mbienesadm">
    <w:name w:val="mbienes_adm"/>
    <w:rPr>
      <w:rFonts w:ascii="Arial" w:hAnsi="Arial" w:cs="Arial"/>
      <w:color w:val="000080"/>
      <w:sz w:val="20"/>
    </w:rPr>
  </w:style>
  <w:style w:type="paragraph" w:customStyle="1" w:styleId="tulo1">
    <w:name w:val="tulo 1"/>
    <w:pPr>
      <w:keepNext/>
      <w:jc w:val="both"/>
    </w:pPr>
    <w:rPr>
      <w:rFonts w:ascii="Palatino" w:hAnsi="Palatino"/>
      <w:b/>
      <w:sz w:val="28"/>
      <w:lang w:val="es-ES_tradnl"/>
    </w:rPr>
  </w:style>
  <w:style w:type="paragraph" w:customStyle="1" w:styleId="Sangradetindependiente">
    <w:name w:val="SangrÌa de t. independiente"/>
    <w:basedOn w:val="Normal"/>
    <w:pPr>
      <w:widowControl/>
      <w:ind w:right="49"/>
    </w:pPr>
    <w:rPr>
      <w:rFonts w:ascii="Palatino" w:hAnsi="Palatino"/>
    </w:rPr>
  </w:style>
  <w:style w:type="paragraph" w:customStyle="1" w:styleId="Estilosergio">
    <w:name w:val="Estilo sergio"/>
    <w:basedOn w:val="Normal"/>
    <w:pPr>
      <w:widowControl/>
      <w:spacing w:before="20" w:after="160"/>
    </w:pPr>
    <w:rPr>
      <w:lang w:val="es-ES"/>
    </w:rPr>
  </w:style>
  <w:style w:type="character" w:styleId="Hipervnculovisitado">
    <w:name w:val="FollowedHyperlink"/>
    <w:rPr>
      <w:color w:val="800080"/>
      <w:u w:val="single"/>
    </w:rPr>
  </w:style>
  <w:style w:type="paragraph" w:customStyle="1" w:styleId="Textoindependiente31">
    <w:name w:val="Texto independiente 31"/>
    <w:basedOn w:val="Normal"/>
    <w:pPr>
      <w:widowControl/>
      <w:tabs>
        <w:tab w:val="left" w:pos="1134"/>
      </w:tabs>
      <w:ind w:left="426"/>
      <w:jc w:val="center"/>
    </w:pPr>
    <w:rPr>
      <w:rFonts w:ascii="Palatino" w:hAnsi="Palatino"/>
      <w:b/>
      <w:sz w:val="28"/>
    </w:rPr>
  </w:style>
  <w:style w:type="paragraph" w:styleId="NormalWeb">
    <w:name w:val="Normal (Web)"/>
    <w:basedOn w:val="Normal"/>
    <w:pPr>
      <w:widowControl/>
      <w:spacing w:before="100" w:beforeAutospacing="1" w:after="100" w:afterAutospacing="1"/>
    </w:pPr>
    <w:rPr>
      <w:szCs w:val="24"/>
      <w:lang w:eastAsia="es-CL"/>
    </w:rPr>
  </w:style>
  <w:style w:type="character" w:styleId="Textoennegrita">
    <w:name w:val="Strong"/>
    <w:qFormat/>
    <w:rPr>
      <w:b/>
      <w:bCs/>
    </w:rPr>
  </w:style>
  <w:style w:type="paragraph" w:customStyle="1" w:styleId="Sangra2">
    <w:name w:val="Sangría 2"/>
    <w:basedOn w:val="Normal"/>
    <w:next w:val="Normal"/>
    <w:rsid w:val="00A822D4"/>
    <w:pPr>
      <w:widowControl/>
      <w:tabs>
        <w:tab w:val="left" w:pos="454"/>
        <w:tab w:val="num" w:pos="643"/>
        <w:tab w:val="left" w:pos="1418"/>
      </w:tabs>
      <w:spacing w:before="80"/>
      <w:ind w:left="643" w:hanging="360"/>
    </w:pPr>
    <w:rPr>
      <w:lang w:val="es-ES"/>
    </w:rPr>
  </w:style>
  <w:style w:type="paragraph" w:styleId="TDC1">
    <w:name w:val="toc 1"/>
    <w:basedOn w:val="Normal"/>
    <w:next w:val="Normal"/>
    <w:autoRedefine/>
    <w:uiPriority w:val="39"/>
    <w:qFormat/>
    <w:rsid w:val="00ED1EF4"/>
    <w:pPr>
      <w:tabs>
        <w:tab w:val="left" w:pos="879"/>
        <w:tab w:val="right" w:leader="dot" w:pos="9430"/>
      </w:tabs>
      <w:spacing w:before="120"/>
      <w:ind w:left="0"/>
    </w:pPr>
    <w:rPr>
      <w:b/>
      <w:caps/>
      <w:lang w:val="es-ES"/>
    </w:rPr>
  </w:style>
  <w:style w:type="paragraph" w:styleId="TDC2">
    <w:name w:val="toc 2"/>
    <w:basedOn w:val="Normal"/>
    <w:next w:val="Normal"/>
    <w:autoRedefine/>
    <w:uiPriority w:val="39"/>
    <w:qFormat/>
    <w:rsid w:val="00ED1EF4"/>
    <w:pPr>
      <w:spacing w:before="120"/>
      <w:ind w:left="851" w:hanging="567"/>
    </w:pPr>
    <w:rPr>
      <w:b/>
      <w:noProof/>
      <w:lang w:val="es-ES"/>
    </w:rPr>
  </w:style>
  <w:style w:type="table" w:styleId="Tablaconcuadrcula">
    <w:name w:val="Table Grid"/>
    <w:basedOn w:val="Tablanormal"/>
    <w:rsid w:val="008C2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uiPriority w:val="39"/>
    <w:qFormat/>
    <w:rsid w:val="00ED1EF4"/>
    <w:rPr>
      <w:noProof/>
      <w:lang w:val="es-ES"/>
    </w:rPr>
  </w:style>
  <w:style w:type="paragraph" w:styleId="TDC4">
    <w:name w:val="toc 4"/>
    <w:basedOn w:val="Normal"/>
    <w:next w:val="Normal"/>
    <w:semiHidden/>
    <w:rsid w:val="000E03BB"/>
    <w:pPr>
      <w:ind w:left="600"/>
    </w:pPr>
    <w:rPr>
      <w:lang w:val="es-ES"/>
    </w:rPr>
  </w:style>
  <w:style w:type="paragraph" w:styleId="TDC5">
    <w:name w:val="toc 5"/>
    <w:basedOn w:val="Normal"/>
    <w:next w:val="Normal"/>
    <w:semiHidden/>
    <w:rsid w:val="000E03BB"/>
    <w:pPr>
      <w:ind w:left="800"/>
    </w:pPr>
    <w:rPr>
      <w:lang w:val="es-ES"/>
    </w:rPr>
  </w:style>
  <w:style w:type="paragraph" w:styleId="TDC6">
    <w:name w:val="toc 6"/>
    <w:basedOn w:val="Normal"/>
    <w:next w:val="Normal"/>
    <w:semiHidden/>
    <w:rsid w:val="000E03BB"/>
    <w:pPr>
      <w:ind w:left="1000"/>
    </w:pPr>
    <w:rPr>
      <w:lang w:val="es-ES"/>
    </w:rPr>
  </w:style>
  <w:style w:type="paragraph" w:styleId="TDC7">
    <w:name w:val="toc 7"/>
    <w:basedOn w:val="Normal"/>
    <w:next w:val="Normal"/>
    <w:semiHidden/>
    <w:rsid w:val="000E03BB"/>
    <w:pPr>
      <w:ind w:left="1200"/>
    </w:pPr>
    <w:rPr>
      <w:lang w:val="es-ES"/>
    </w:rPr>
  </w:style>
  <w:style w:type="paragraph" w:styleId="TDC8">
    <w:name w:val="toc 8"/>
    <w:basedOn w:val="Normal"/>
    <w:next w:val="Normal"/>
    <w:semiHidden/>
    <w:rsid w:val="000E03BB"/>
    <w:pPr>
      <w:ind w:left="1400"/>
    </w:pPr>
    <w:rPr>
      <w:lang w:val="es-ES"/>
    </w:rPr>
  </w:style>
  <w:style w:type="paragraph" w:styleId="TDC9">
    <w:name w:val="toc 9"/>
    <w:basedOn w:val="Normal"/>
    <w:next w:val="Normal"/>
    <w:semiHidden/>
    <w:rsid w:val="000E03BB"/>
    <w:pPr>
      <w:ind w:left="1600"/>
    </w:pPr>
    <w:rPr>
      <w:lang w:val="es-ES"/>
    </w:rPr>
  </w:style>
  <w:style w:type="paragraph" w:styleId="ndice2">
    <w:name w:val="index 2"/>
    <w:basedOn w:val="Normal"/>
    <w:next w:val="Normal"/>
    <w:semiHidden/>
    <w:rsid w:val="000E03BB"/>
    <w:pPr>
      <w:ind w:left="400" w:hanging="200"/>
    </w:pPr>
    <w:rPr>
      <w:lang w:val="es-ES"/>
    </w:rPr>
  </w:style>
  <w:style w:type="paragraph" w:styleId="ndice3">
    <w:name w:val="index 3"/>
    <w:basedOn w:val="Normal"/>
    <w:next w:val="Normal"/>
    <w:semiHidden/>
    <w:rsid w:val="000E03BB"/>
    <w:pPr>
      <w:ind w:left="600" w:hanging="200"/>
    </w:pPr>
    <w:rPr>
      <w:lang w:val="es-ES"/>
    </w:rPr>
  </w:style>
  <w:style w:type="paragraph" w:styleId="ndice4">
    <w:name w:val="index 4"/>
    <w:basedOn w:val="Normal"/>
    <w:next w:val="Normal"/>
    <w:semiHidden/>
    <w:rsid w:val="000E03BB"/>
    <w:pPr>
      <w:ind w:left="800" w:hanging="200"/>
    </w:pPr>
    <w:rPr>
      <w:lang w:val="es-ES"/>
    </w:rPr>
  </w:style>
  <w:style w:type="paragraph" w:styleId="ndice5">
    <w:name w:val="index 5"/>
    <w:basedOn w:val="Normal"/>
    <w:next w:val="Normal"/>
    <w:semiHidden/>
    <w:rsid w:val="000E03BB"/>
    <w:pPr>
      <w:ind w:left="1000" w:hanging="200"/>
    </w:pPr>
    <w:rPr>
      <w:lang w:val="es-ES"/>
    </w:rPr>
  </w:style>
  <w:style w:type="paragraph" w:styleId="ndice6">
    <w:name w:val="index 6"/>
    <w:basedOn w:val="Normal"/>
    <w:next w:val="Normal"/>
    <w:semiHidden/>
    <w:rsid w:val="000E03BB"/>
    <w:pPr>
      <w:ind w:left="1200" w:hanging="200"/>
    </w:pPr>
    <w:rPr>
      <w:lang w:val="es-ES"/>
    </w:rPr>
  </w:style>
  <w:style w:type="paragraph" w:styleId="ndice7">
    <w:name w:val="index 7"/>
    <w:basedOn w:val="Normal"/>
    <w:next w:val="Normal"/>
    <w:semiHidden/>
    <w:rsid w:val="000E03BB"/>
    <w:pPr>
      <w:ind w:left="1400" w:hanging="200"/>
    </w:pPr>
    <w:rPr>
      <w:lang w:val="es-ES"/>
    </w:rPr>
  </w:style>
  <w:style w:type="paragraph" w:styleId="ndice8">
    <w:name w:val="index 8"/>
    <w:basedOn w:val="Normal"/>
    <w:next w:val="Normal"/>
    <w:semiHidden/>
    <w:rsid w:val="000E03BB"/>
    <w:pPr>
      <w:ind w:left="1600" w:hanging="200"/>
    </w:pPr>
    <w:rPr>
      <w:lang w:val="es-ES"/>
    </w:rPr>
  </w:style>
  <w:style w:type="paragraph" w:styleId="ndice9">
    <w:name w:val="index 9"/>
    <w:basedOn w:val="Normal"/>
    <w:next w:val="Normal"/>
    <w:semiHidden/>
    <w:rsid w:val="000E03BB"/>
    <w:pPr>
      <w:ind w:left="1800" w:hanging="200"/>
    </w:pPr>
    <w:rPr>
      <w:lang w:val="es-ES"/>
    </w:rPr>
  </w:style>
  <w:style w:type="paragraph" w:styleId="Textocomentario">
    <w:name w:val="annotation text"/>
    <w:basedOn w:val="Normal"/>
    <w:link w:val="TextocomentarioCar"/>
    <w:rsid w:val="000E03BB"/>
    <w:rPr>
      <w:lang w:val="es-ES"/>
    </w:rPr>
  </w:style>
  <w:style w:type="paragraph" w:customStyle="1" w:styleId="Textoindependiente1">
    <w:name w:val="Texto independiente1"/>
    <w:rsid w:val="000E03BB"/>
    <w:rPr>
      <w:rFonts w:ascii="Tms Rmn" w:hAnsi="Tms Rmn"/>
      <w:color w:val="000000"/>
      <w:sz w:val="24"/>
      <w:lang w:val="en-US"/>
    </w:rPr>
  </w:style>
  <w:style w:type="paragraph" w:customStyle="1" w:styleId="Blockquote">
    <w:name w:val="Blockquote"/>
    <w:basedOn w:val="Normal"/>
    <w:rsid w:val="000E03BB"/>
    <w:pPr>
      <w:widowControl/>
      <w:spacing w:before="100" w:after="100"/>
      <w:ind w:left="360" w:right="360"/>
    </w:pPr>
    <w:rPr>
      <w:snapToGrid w:val="0"/>
      <w:lang w:val="es-ES"/>
    </w:rPr>
  </w:style>
  <w:style w:type="paragraph" w:styleId="Textodeglobo">
    <w:name w:val="Balloon Text"/>
    <w:basedOn w:val="Normal"/>
    <w:semiHidden/>
    <w:rsid w:val="000E03BB"/>
    <w:rPr>
      <w:rFonts w:ascii="Tahoma" w:hAnsi="Tahoma" w:cs="Tahoma"/>
      <w:sz w:val="16"/>
      <w:szCs w:val="16"/>
      <w:lang w:val="es-ES"/>
    </w:rPr>
  </w:style>
  <w:style w:type="paragraph" w:styleId="Asuntodelcomentario">
    <w:name w:val="annotation subject"/>
    <w:basedOn w:val="Textocomentario"/>
    <w:next w:val="Textocomentario"/>
    <w:semiHidden/>
    <w:rsid w:val="000E03BB"/>
    <w:rPr>
      <w:b/>
      <w:bCs/>
      <w:sz w:val="20"/>
    </w:rPr>
  </w:style>
  <w:style w:type="character" w:styleId="Refdecomentario">
    <w:name w:val="annotation reference"/>
    <w:rsid w:val="00201344"/>
    <w:rPr>
      <w:sz w:val="16"/>
      <w:szCs w:val="16"/>
    </w:rPr>
  </w:style>
  <w:style w:type="character" w:customStyle="1" w:styleId="Fuentedeencabezadopredeter">
    <w:name w:val="Fuente de encabezado predeter."/>
    <w:rsid w:val="008000C5"/>
  </w:style>
  <w:style w:type="paragraph" w:customStyle="1" w:styleId="Textodenotaalfinal">
    <w:name w:val="Texto de nota al final"/>
    <w:basedOn w:val="Normal"/>
    <w:rsid w:val="008000C5"/>
    <w:pPr>
      <w:widowControl/>
    </w:pPr>
    <w:rPr>
      <w:rFonts w:ascii="Courier" w:hAnsi="Courier"/>
    </w:rPr>
  </w:style>
  <w:style w:type="paragraph" w:customStyle="1" w:styleId="Textodenotaalpie">
    <w:name w:val="Texto de nota al pie"/>
    <w:basedOn w:val="Normal"/>
    <w:rsid w:val="008000C5"/>
    <w:pPr>
      <w:widowControl/>
    </w:pPr>
    <w:rPr>
      <w:rFonts w:ascii="Courier" w:hAnsi="Courier"/>
    </w:rPr>
  </w:style>
  <w:style w:type="character" w:customStyle="1" w:styleId="Refdenotaalpie">
    <w:name w:val="Ref de nota al pie"/>
    <w:rsid w:val="008000C5"/>
    <w:rPr>
      <w:vertAlign w:val="superscript"/>
    </w:rPr>
  </w:style>
  <w:style w:type="character" w:customStyle="1" w:styleId="DefaultParagraphFo">
    <w:name w:val="Default Paragraph Fo"/>
    <w:basedOn w:val="Fuentedeencabezadopredeter"/>
    <w:rsid w:val="008000C5"/>
  </w:style>
  <w:style w:type="character" w:customStyle="1" w:styleId="Fuentedeencabezado">
    <w:name w:val="Fuente de encabezado"/>
    <w:basedOn w:val="Fuentedeencabezadopredeter"/>
    <w:rsid w:val="008000C5"/>
  </w:style>
  <w:style w:type="paragraph" w:customStyle="1" w:styleId="Textodenotaalfin">
    <w:name w:val="Texto de nota al fin"/>
    <w:rsid w:val="008000C5"/>
    <w:pPr>
      <w:tabs>
        <w:tab w:val="left" w:pos="-720"/>
      </w:tabs>
      <w:suppressAutoHyphens/>
    </w:pPr>
    <w:rPr>
      <w:rFonts w:ascii="Courier" w:hAnsi="Courier"/>
      <w:sz w:val="24"/>
      <w:lang w:val="es-ES_tradnl"/>
    </w:rPr>
  </w:style>
  <w:style w:type="character" w:customStyle="1" w:styleId="Refdenotaalpie1">
    <w:name w:val="Ref de nota al pie1"/>
    <w:rsid w:val="008000C5"/>
    <w:rPr>
      <w:rFonts w:ascii="Courier" w:hAnsi="Courier"/>
      <w:noProof w:val="0"/>
      <w:sz w:val="24"/>
      <w:vertAlign w:val="superscript"/>
      <w:lang w:val="en-US"/>
    </w:rPr>
  </w:style>
  <w:style w:type="character" w:customStyle="1" w:styleId="EquationCaption">
    <w:name w:val="_Equation Caption"/>
    <w:basedOn w:val="Fuentedeencabezadopredeter"/>
    <w:rsid w:val="008000C5"/>
  </w:style>
  <w:style w:type="paragraph" w:customStyle="1" w:styleId="ndice10">
    <w:name w:val="índice 1"/>
    <w:basedOn w:val="Normal"/>
    <w:rsid w:val="008000C5"/>
    <w:pPr>
      <w:widowControl/>
      <w:tabs>
        <w:tab w:val="right" w:leader="dot" w:pos="9360"/>
      </w:tabs>
      <w:suppressAutoHyphens/>
      <w:ind w:left="1440" w:right="720" w:hanging="1440"/>
    </w:pPr>
    <w:rPr>
      <w:rFonts w:ascii="Courier" w:hAnsi="Courier"/>
      <w:lang w:val="en-US"/>
    </w:rPr>
  </w:style>
  <w:style w:type="paragraph" w:customStyle="1" w:styleId="ndice20">
    <w:name w:val="índice 2"/>
    <w:basedOn w:val="Normal"/>
    <w:rsid w:val="008000C5"/>
    <w:pPr>
      <w:widowControl/>
      <w:tabs>
        <w:tab w:val="right" w:leader="dot" w:pos="9360"/>
      </w:tabs>
      <w:suppressAutoHyphens/>
      <w:ind w:left="1440" w:right="720" w:hanging="720"/>
    </w:pPr>
    <w:rPr>
      <w:rFonts w:ascii="Courier" w:hAnsi="Courier"/>
      <w:lang w:val="en-US"/>
    </w:rPr>
  </w:style>
  <w:style w:type="paragraph" w:customStyle="1" w:styleId="toa">
    <w:name w:val="toa"/>
    <w:basedOn w:val="Normal"/>
    <w:rsid w:val="008000C5"/>
    <w:pPr>
      <w:widowControl/>
      <w:tabs>
        <w:tab w:val="right" w:pos="9360"/>
      </w:tabs>
      <w:suppressAutoHyphens/>
    </w:pPr>
    <w:rPr>
      <w:rFonts w:ascii="Courier" w:hAnsi="Courier"/>
      <w:lang w:val="en-US"/>
    </w:rPr>
  </w:style>
  <w:style w:type="paragraph" w:customStyle="1" w:styleId="epgrafe">
    <w:name w:val="epígrafe"/>
    <w:basedOn w:val="Normal"/>
    <w:rsid w:val="008000C5"/>
    <w:pPr>
      <w:widowControl/>
    </w:pPr>
    <w:rPr>
      <w:rFonts w:ascii="Courier" w:hAnsi="Courier"/>
    </w:rPr>
  </w:style>
  <w:style w:type="character" w:customStyle="1" w:styleId="EquationCaption1">
    <w:name w:val="_Equation Caption1"/>
    <w:rsid w:val="008000C5"/>
  </w:style>
  <w:style w:type="paragraph" w:styleId="Prrafodelista">
    <w:name w:val="List Paragraph"/>
    <w:basedOn w:val="Normal"/>
    <w:link w:val="PrrafodelistaCar"/>
    <w:uiPriority w:val="34"/>
    <w:qFormat/>
    <w:rsid w:val="0095350A"/>
    <w:pPr>
      <w:widowControl/>
      <w:spacing w:after="200" w:line="276" w:lineRule="auto"/>
      <w:ind w:left="708"/>
    </w:pPr>
    <w:rPr>
      <w:rFonts w:ascii="Calibri" w:hAnsi="Calibri"/>
      <w:lang w:eastAsia="es-CL"/>
    </w:rPr>
  </w:style>
  <w:style w:type="paragraph" w:customStyle="1" w:styleId="Sangra2detindependiente10">
    <w:name w:val="Sangría 2 de t. independiente1"/>
    <w:basedOn w:val="Normal"/>
    <w:rsid w:val="0095350A"/>
    <w:pPr>
      <w:ind w:left="3540"/>
    </w:pPr>
    <w:rPr>
      <w:b/>
    </w:rPr>
  </w:style>
  <w:style w:type="character" w:customStyle="1" w:styleId="TextocomentarioCar">
    <w:name w:val="Texto comentario Car"/>
    <w:link w:val="Textocomentario"/>
    <w:rsid w:val="0095350A"/>
    <w:rPr>
      <w:rFonts w:ascii="Arial" w:hAnsi="Arial"/>
      <w:sz w:val="22"/>
      <w:lang w:val="es-ES" w:eastAsia="es-ES"/>
    </w:rPr>
  </w:style>
  <w:style w:type="character" w:styleId="nfasis">
    <w:name w:val="Emphasis"/>
    <w:qFormat/>
    <w:rsid w:val="007E7FFB"/>
    <w:rPr>
      <w:i/>
      <w:iCs/>
    </w:rPr>
  </w:style>
  <w:style w:type="paragraph" w:customStyle="1" w:styleId="Textoindependiente32">
    <w:name w:val="Texto independiente 32"/>
    <w:basedOn w:val="Normal"/>
    <w:rsid w:val="0006291E"/>
    <w:pPr>
      <w:widowControl/>
      <w:tabs>
        <w:tab w:val="left" w:pos="1134"/>
      </w:tabs>
      <w:ind w:left="426"/>
      <w:jc w:val="center"/>
    </w:pPr>
    <w:rPr>
      <w:rFonts w:ascii="Palatino" w:hAnsi="Palatino"/>
      <w:b/>
      <w:sz w:val="28"/>
    </w:rPr>
  </w:style>
  <w:style w:type="character" w:customStyle="1" w:styleId="Ttulo2Car">
    <w:name w:val="Título 2 Car"/>
    <w:link w:val="Ttulo2"/>
    <w:rsid w:val="00946400"/>
    <w:rPr>
      <w:rFonts w:ascii="Arial" w:hAnsi="Arial" w:cs="Arial"/>
      <w:b/>
      <w:caps/>
      <w:snapToGrid w:val="0"/>
      <w:sz w:val="24"/>
      <w:szCs w:val="24"/>
      <w:lang w:val="es-MX"/>
    </w:rPr>
  </w:style>
  <w:style w:type="paragraph" w:styleId="TtulodeTDC">
    <w:name w:val="TOC Heading"/>
    <w:basedOn w:val="Ttulo1"/>
    <w:next w:val="Normal"/>
    <w:uiPriority w:val="39"/>
    <w:unhideWhenUsed/>
    <w:qFormat/>
    <w:rsid w:val="00FD0214"/>
    <w:pPr>
      <w:keepLines/>
      <w:numPr>
        <w:numId w:val="0"/>
      </w:numPr>
      <w:spacing w:before="240" w:line="259" w:lineRule="auto"/>
      <w:ind w:left="360" w:hanging="360"/>
      <w:outlineLvl w:val="9"/>
    </w:pPr>
    <w:rPr>
      <w:rFonts w:ascii="Calibri Light" w:hAnsi="Calibri Light"/>
      <w:b w:val="0"/>
      <w:color w:val="2E74B5"/>
      <w:sz w:val="32"/>
      <w:szCs w:val="32"/>
      <w:lang w:val="es-CL" w:eastAsia="es-CL"/>
    </w:rPr>
  </w:style>
  <w:style w:type="character" w:customStyle="1" w:styleId="TextoindependienteCar1">
    <w:name w:val="Texto independiente Car1"/>
    <w:link w:val="Textoindependiente"/>
    <w:rsid w:val="0018548F"/>
    <w:rPr>
      <w:sz w:val="24"/>
      <w:lang w:val="es-MX" w:eastAsia="es-ES"/>
    </w:rPr>
  </w:style>
  <w:style w:type="character" w:customStyle="1" w:styleId="Ttulo1Car">
    <w:name w:val="Título 1 Car"/>
    <w:aliases w:val="título 1 Car"/>
    <w:link w:val="Ttulo1"/>
    <w:rsid w:val="00B1576D"/>
    <w:rPr>
      <w:rFonts w:ascii="Arial" w:hAnsi="Arial" w:cs="Arial"/>
      <w:b/>
      <w:caps/>
      <w:snapToGrid w:val="0"/>
      <w:sz w:val="28"/>
      <w:szCs w:val="22"/>
      <w:lang w:val="es-MX"/>
    </w:rPr>
  </w:style>
  <w:style w:type="character" w:customStyle="1" w:styleId="Textoindependiente2Car">
    <w:name w:val="Texto independiente 2 Car"/>
    <w:link w:val="Textoindependiente2"/>
    <w:rsid w:val="000F7AE3"/>
    <w:rPr>
      <w:rFonts w:ascii="Tahoma" w:hAnsi="Tahoma"/>
      <w:b/>
      <w:sz w:val="22"/>
      <w:lang w:val="es-ES_tradnl" w:eastAsia="es-ES"/>
    </w:rPr>
  </w:style>
  <w:style w:type="paragraph" w:styleId="Revisin">
    <w:name w:val="Revision"/>
    <w:hidden/>
    <w:uiPriority w:val="99"/>
    <w:semiHidden/>
    <w:rsid w:val="007434E6"/>
    <w:rPr>
      <w:lang w:val="es-ES_tradnl"/>
    </w:rPr>
  </w:style>
  <w:style w:type="paragraph" w:styleId="Textonotapie">
    <w:name w:val="footnote text"/>
    <w:basedOn w:val="Normal"/>
    <w:link w:val="TextonotapieCar"/>
    <w:unhideWhenUsed/>
    <w:rsid w:val="008578D1"/>
    <w:pPr>
      <w:widowControl/>
    </w:pPr>
    <w:rPr>
      <w:lang w:eastAsia="es-CL"/>
    </w:rPr>
  </w:style>
  <w:style w:type="character" w:customStyle="1" w:styleId="TextonotapieCar">
    <w:name w:val="Texto nota pie Car"/>
    <w:link w:val="Textonotapie"/>
    <w:rsid w:val="008578D1"/>
    <w:rPr>
      <w:rFonts w:ascii="Arial" w:hAnsi="Arial"/>
      <w:lang w:val="es-CL" w:eastAsia="es-CL"/>
    </w:rPr>
  </w:style>
  <w:style w:type="character" w:styleId="Refdenotaalpie0">
    <w:name w:val="footnote reference"/>
    <w:unhideWhenUsed/>
    <w:rsid w:val="008578D1"/>
    <w:rPr>
      <w:vertAlign w:val="superscript"/>
    </w:rPr>
  </w:style>
  <w:style w:type="paragraph" w:customStyle="1" w:styleId="Textoindependiente210">
    <w:name w:val="Texto independiente 21"/>
    <w:basedOn w:val="Normal"/>
    <w:rsid w:val="00A822D4"/>
    <w:pPr>
      <w:ind w:left="1701" w:hanging="1701"/>
    </w:pPr>
  </w:style>
  <w:style w:type="paragraph" w:customStyle="1" w:styleId="Textoindependiente310">
    <w:name w:val="Texto independiente 31"/>
    <w:basedOn w:val="Normal"/>
    <w:rsid w:val="00A822D4"/>
    <w:pPr>
      <w:widowControl/>
      <w:tabs>
        <w:tab w:val="left" w:pos="1134"/>
      </w:tabs>
      <w:ind w:left="426"/>
      <w:jc w:val="center"/>
    </w:pPr>
    <w:rPr>
      <w:rFonts w:ascii="Palatino" w:hAnsi="Palatino"/>
      <w:b/>
      <w:sz w:val="28"/>
    </w:rPr>
  </w:style>
  <w:style w:type="paragraph" w:customStyle="1" w:styleId="Textoindependiente10">
    <w:name w:val="Texto independiente1"/>
    <w:rsid w:val="00A822D4"/>
    <w:rPr>
      <w:rFonts w:ascii="Tms Rmn" w:hAnsi="Tms Rmn"/>
      <w:color w:val="000000"/>
      <w:sz w:val="24"/>
      <w:lang w:val="en-US"/>
    </w:rPr>
  </w:style>
  <w:style w:type="character" w:customStyle="1" w:styleId="TextoindependienteCar">
    <w:name w:val="Texto independiente Car"/>
    <w:rsid w:val="00A822D4"/>
    <w:rPr>
      <w:sz w:val="24"/>
      <w:lang w:val="es-MX" w:eastAsia="es-ES"/>
    </w:rPr>
  </w:style>
  <w:style w:type="character" w:customStyle="1" w:styleId="PiedepginaCar">
    <w:name w:val="Pie de página Car"/>
    <w:link w:val="Piedepgina"/>
    <w:uiPriority w:val="99"/>
    <w:rsid w:val="00F47D2D"/>
    <w:rPr>
      <w:lang w:val="es-ES_tradnl"/>
    </w:rPr>
  </w:style>
  <w:style w:type="table" w:styleId="Listaclara-nfasis5">
    <w:name w:val="Light List Accent 5"/>
    <w:basedOn w:val="Tablanormal"/>
    <w:uiPriority w:val="61"/>
    <w:rsid w:val="009102BD"/>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cPr>
      <w:shd w:val="clear" w:color="auto" w:fill="BDD6EE" w:themeFill="accent1" w:themeFillTint="66"/>
    </w:tc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customStyle="1" w:styleId="xnormal">
    <w:name w:val="x) normal"/>
    <w:basedOn w:val="Prrafodelista"/>
    <w:link w:val="xnormalCar"/>
    <w:qFormat/>
    <w:rsid w:val="00B1576D"/>
    <w:pPr>
      <w:numPr>
        <w:numId w:val="7"/>
      </w:numPr>
    </w:pPr>
    <w:rPr>
      <w:rFonts w:ascii="Arial" w:hAnsi="Arial"/>
      <w:lang w:val="es-ES"/>
    </w:rPr>
  </w:style>
  <w:style w:type="paragraph" w:customStyle="1" w:styleId="nNormal">
    <w:name w:val="n) Normal"/>
    <w:basedOn w:val="Prrafodelista"/>
    <w:link w:val="nNormalCar"/>
    <w:qFormat/>
    <w:rsid w:val="00B1576D"/>
    <w:pPr>
      <w:numPr>
        <w:numId w:val="6"/>
      </w:numPr>
    </w:pPr>
    <w:rPr>
      <w:rFonts w:ascii="Arial" w:hAnsi="Arial"/>
    </w:rPr>
  </w:style>
  <w:style w:type="character" w:customStyle="1" w:styleId="PrrafodelistaCar">
    <w:name w:val="Párrafo de lista Car"/>
    <w:basedOn w:val="Fuentedeprrafopredeter"/>
    <w:link w:val="Prrafodelista"/>
    <w:uiPriority w:val="34"/>
    <w:rsid w:val="00221EEF"/>
    <w:rPr>
      <w:rFonts w:ascii="Calibri" w:hAnsi="Calibri" w:cs="Arial"/>
      <w:sz w:val="22"/>
      <w:szCs w:val="22"/>
      <w:lang w:val="es-CL" w:eastAsia="es-CL"/>
    </w:rPr>
  </w:style>
  <w:style w:type="character" w:customStyle="1" w:styleId="xnormalCar">
    <w:name w:val="x) normal Car"/>
    <w:basedOn w:val="PrrafodelistaCar"/>
    <w:link w:val="xnormal"/>
    <w:rsid w:val="00B1576D"/>
    <w:rPr>
      <w:rFonts w:ascii="Arial" w:hAnsi="Arial" w:cs="Arial"/>
      <w:sz w:val="24"/>
      <w:szCs w:val="22"/>
      <w:lang w:val="es-CL" w:eastAsia="es-CL"/>
    </w:rPr>
  </w:style>
  <w:style w:type="character" w:customStyle="1" w:styleId="nNormalCar">
    <w:name w:val="n) Normal Car"/>
    <w:basedOn w:val="PrrafodelistaCar"/>
    <w:link w:val="nNormal"/>
    <w:rsid w:val="00B1576D"/>
    <w:rPr>
      <w:rFonts w:ascii="Arial" w:hAnsi="Arial" w:cs="Arial"/>
      <w:sz w:val="24"/>
      <w:szCs w:val="22"/>
      <w:lang w:val="es-MX" w:eastAsia="es-CL"/>
    </w:rPr>
  </w:style>
  <w:style w:type="paragraph" w:customStyle="1" w:styleId="Listavistosa-nfasis11">
    <w:name w:val="Lista vistosa - Énfasis 11"/>
    <w:basedOn w:val="Normal"/>
    <w:uiPriority w:val="34"/>
    <w:qFormat/>
    <w:rsid w:val="001933E7"/>
    <w:pPr>
      <w:widowControl/>
      <w:spacing w:after="0"/>
      <w:ind w:left="720"/>
      <w:contextualSpacing/>
      <w:jc w:val="left"/>
    </w:pPr>
    <w:rPr>
      <w:rFonts w:ascii="Times New Roman" w:hAnsi="Times New Roman" w:cs="Times New Roman"/>
      <w:szCs w:val="24"/>
      <w:lang w:val="es-ES"/>
    </w:rPr>
  </w:style>
  <w:style w:type="paragraph" w:customStyle="1" w:styleId="BBTTDGF">
    <w:name w:val="BBTT_DGF"/>
    <w:basedOn w:val="Normal"/>
    <w:link w:val="BBTTDGFCar"/>
    <w:rsid w:val="006A0EBF"/>
    <w:pPr>
      <w:widowControl/>
      <w:spacing w:after="0"/>
      <w:jc w:val="left"/>
    </w:pPr>
  </w:style>
  <w:style w:type="character" w:customStyle="1" w:styleId="BBTTDGFCar">
    <w:name w:val="BBTT_DGF Car"/>
    <w:basedOn w:val="Fuentedeprrafopredeter"/>
    <w:link w:val="BBTTDGF"/>
    <w:rsid w:val="006A0EBF"/>
    <w:rPr>
      <w:rFonts w:ascii="Arial" w:hAnsi="Arial" w:cs="Arial"/>
      <w:sz w:val="24"/>
      <w:szCs w:val="22"/>
      <w:lang w:val="es-CL"/>
    </w:rPr>
  </w:style>
  <w:style w:type="paragraph" w:customStyle="1" w:styleId="Ttulo">
    <w:name w:val="Título"/>
    <w:aliases w:val="2,Título1"/>
    <w:basedOn w:val="Normal"/>
    <w:qFormat/>
    <w:rsid w:val="00F55D84"/>
    <w:pPr>
      <w:widowControl/>
      <w:spacing w:after="0"/>
      <w:ind w:left="0"/>
      <w:jc w:val="center"/>
    </w:pPr>
    <w:rPr>
      <w:rFonts w:cs="Times New Roman"/>
      <w:b/>
      <w:szCs w:val="20"/>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5782">
      <w:bodyDiv w:val="1"/>
      <w:marLeft w:val="0"/>
      <w:marRight w:val="0"/>
      <w:marTop w:val="0"/>
      <w:marBottom w:val="0"/>
      <w:divBdr>
        <w:top w:val="none" w:sz="0" w:space="0" w:color="auto"/>
        <w:left w:val="none" w:sz="0" w:space="0" w:color="auto"/>
        <w:bottom w:val="none" w:sz="0" w:space="0" w:color="auto"/>
        <w:right w:val="none" w:sz="0" w:space="0" w:color="auto"/>
      </w:divBdr>
    </w:div>
    <w:div w:id="17854579">
      <w:bodyDiv w:val="1"/>
      <w:marLeft w:val="0"/>
      <w:marRight w:val="0"/>
      <w:marTop w:val="0"/>
      <w:marBottom w:val="0"/>
      <w:divBdr>
        <w:top w:val="none" w:sz="0" w:space="0" w:color="auto"/>
        <w:left w:val="none" w:sz="0" w:space="0" w:color="auto"/>
        <w:bottom w:val="none" w:sz="0" w:space="0" w:color="auto"/>
        <w:right w:val="none" w:sz="0" w:space="0" w:color="auto"/>
      </w:divBdr>
    </w:div>
    <w:div w:id="23677111">
      <w:bodyDiv w:val="1"/>
      <w:marLeft w:val="0"/>
      <w:marRight w:val="0"/>
      <w:marTop w:val="0"/>
      <w:marBottom w:val="0"/>
      <w:divBdr>
        <w:top w:val="none" w:sz="0" w:space="0" w:color="auto"/>
        <w:left w:val="none" w:sz="0" w:space="0" w:color="auto"/>
        <w:bottom w:val="none" w:sz="0" w:space="0" w:color="auto"/>
        <w:right w:val="none" w:sz="0" w:space="0" w:color="auto"/>
      </w:divBdr>
    </w:div>
    <w:div w:id="67120109">
      <w:bodyDiv w:val="1"/>
      <w:marLeft w:val="0"/>
      <w:marRight w:val="0"/>
      <w:marTop w:val="0"/>
      <w:marBottom w:val="0"/>
      <w:divBdr>
        <w:top w:val="none" w:sz="0" w:space="0" w:color="auto"/>
        <w:left w:val="none" w:sz="0" w:space="0" w:color="auto"/>
        <w:bottom w:val="none" w:sz="0" w:space="0" w:color="auto"/>
        <w:right w:val="none" w:sz="0" w:space="0" w:color="auto"/>
      </w:divBdr>
    </w:div>
    <w:div w:id="82459094">
      <w:bodyDiv w:val="1"/>
      <w:marLeft w:val="0"/>
      <w:marRight w:val="0"/>
      <w:marTop w:val="0"/>
      <w:marBottom w:val="0"/>
      <w:divBdr>
        <w:top w:val="none" w:sz="0" w:space="0" w:color="auto"/>
        <w:left w:val="none" w:sz="0" w:space="0" w:color="auto"/>
        <w:bottom w:val="none" w:sz="0" w:space="0" w:color="auto"/>
        <w:right w:val="none" w:sz="0" w:space="0" w:color="auto"/>
      </w:divBdr>
    </w:div>
    <w:div w:id="250358660">
      <w:bodyDiv w:val="1"/>
      <w:marLeft w:val="0"/>
      <w:marRight w:val="0"/>
      <w:marTop w:val="0"/>
      <w:marBottom w:val="0"/>
      <w:divBdr>
        <w:top w:val="none" w:sz="0" w:space="0" w:color="auto"/>
        <w:left w:val="none" w:sz="0" w:space="0" w:color="auto"/>
        <w:bottom w:val="none" w:sz="0" w:space="0" w:color="auto"/>
        <w:right w:val="none" w:sz="0" w:space="0" w:color="auto"/>
      </w:divBdr>
    </w:div>
    <w:div w:id="264776765">
      <w:bodyDiv w:val="1"/>
      <w:marLeft w:val="0"/>
      <w:marRight w:val="0"/>
      <w:marTop w:val="0"/>
      <w:marBottom w:val="0"/>
      <w:divBdr>
        <w:top w:val="none" w:sz="0" w:space="0" w:color="auto"/>
        <w:left w:val="none" w:sz="0" w:space="0" w:color="auto"/>
        <w:bottom w:val="none" w:sz="0" w:space="0" w:color="auto"/>
        <w:right w:val="none" w:sz="0" w:space="0" w:color="auto"/>
      </w:divBdr>
    </w:div>
    <w:div w:id="271743091">
      <w:bodyDiv w:val="1"/>
      <w:marLeft w:val="0"/>
      <w:marRight w:val="0"/>
      <w:marTop w:val="0"/>
      <w:marBottom w:val="0"/>
      <w:divBdr>
        <w:top w:val="none" w:sz="0" w:space="0" w:color="auto"/>
        <w:left w:val="none" w:sz="0" w:space="0" w:color="auto"/>
        <w:bottom w:val="none" w:sz="0" w:space="0" w:color="auto"/>
        <w:right w:val="none" w:sz="0" w:space="0" w:color="auto"/>
      </w:divBdr>
    </w:div>
    <w:div w:id="283846647">
      <w:bodyDiv w:val="1"/>
      <w:marLeft w:val="0"/>
      <w:marRight w:val="0"/>
      <w:marTop w:val="0"/>
      <w:marBottom w:val="0"/>
      <w:divBdr>
        <w:top w:val="none" w:sz="0" w:space="0" w:color="auto"/>
        <w:left w:val="none" w:sz="0" w:space="0" w:color="auto"/>
        <w:bottom w:val="none" w:sz="0" w:space="0" w:color="auto"/>
        <w:right w:val="none" w:sz="0" w:space="0" w:color="auto"/>
      </w:divBdr>
    </w:div>
    <w:div w:id="388379965">
      <w:bodyDiv w:val="1"/>
      <w:marLeft w:val="0"/>
      <w:marRight w:val="0"/>
      <w:marTop w:val="0"/>
      <w:marBottom w:val="0"/>
      <w:divBdr>
        <w:top w:val="none" w:sz="0" w:space="0" w:color="auto"/>
        <w:left w:val="none" w:sz="0" w:space="0" w:color="auto"/>
        <w:bottom w:val="none" w:sz="0" w:space="0" w:color="auto"/>
        <w:right w:val="none" w:sz="0" w:space="0" w:color="auto"/>
      </w:divBdr>
    </w:div>
    <w:div w:id="464274941">
      <w:bodyDiv w:val="1"/>
      <w:marLeft w:val="0"/>
      <w:marRight w:val="0"/>
      <w:marTop w:val="0"/>
      <w:marBottom w:val="0"/>
      <w:divBdr>
        <w:top w:val="none" w:sz="0" w:space="0" w:color="auto"/>
        <w:left w:val="none" w:sz="0" w:space="0" w:color="auto"/>
        <w:bottom w:val="none" w:sz="0" w:space="0" w:color="auto"/>
        <w:right w:val="none" w:sz="0" w:space="0" w:color="auto"/>
      </w:divBdr>
    </w:div>
    <w:div w:id="541138835">
      <w:bodyDiv w:val="1"/>
      <w:marLeft w:val="0"/>
      <w:marRight w:val="0"/>
      <w:marTop w:val="0"/>
      <w:marBottom w:val="0"/>
      <w:divBdr>
        <w:top w:val="none" w:sz="0" w:space="0" w:color="auto"/>
        <w:left w:val="none" w:sz="0" w:space="0" w:color="auto"/>
        <w:bottom w:val="none" w:sz="0" w:space="0" w:color="auto"/>
        <w:right w:val="none" w:sz="0" w:space="0" w:color="auto"/>
      </w:divBdr>
    </w:div>
    <w:div w:id="557281838">
      <w:bodyDiv w:val="1"/>
      <w:marLeft w:val="0"/>
      <w:marRight w:val="0"/>
      <w:marTop w:val="0"/>
      <w:marBottom w:val="0"/>
      <w:divBdr>
        <w:top w:val="none" w:sz="0" w:space="0" w:color="auto"/>
        <w:left w:val="none" w:sz="0" w:space="0" w:color="auto"/>
        <w:bottom w:val="none" w:sz="0" w:space="0" w:color="auto"/>
        <w:right w:val="none" w:sz="0" w:space="0" w:color="auto"/>
      </w:divBdr>
    </w:div>
    <w:div w:id="611978700">
      <w:bodyDiv w:val="1"/>
      <w:marLeft w:val="0"/>
      <w:marRight w:val="0"/>
      <w:marTop w:val="0"/>
      <w:marBottom w:val="0"/>
      <w:divBdr>
        <w:top w:val="none" w:sz="0" w:space="0" w:color="auto"/>
        <w:left w:val="none" w:sz="0" w:space="0" w:color="auto"/>
        <w:bottom w:val="none" w:sz="0" w:space="0" w:color="auto"/>
        <w:right w:val="none" w:sz="0" w:space="0" w:color="auto"/>
      </w:divBdr>
    </w:div>
    <w:div w:id="652099441">
      <w:bodyDiv w:val="1"/>
      <w:marLeft w:val="0"/>
      <w:marRight w:val="0"/>
      <w:marTop w:val="0"/>
      <w:marBottom w:val="0"/>
      <w:divBdr>
        <w:top w:val="none" w:sz="0" w:space="0" w:color="auto"/>
        <w:left w:val="none" w:sz="0" w:space="0" w:color="auto"/>
        <w:bottom w:val="none" w:sz="0" w:space="0" w:color="auto"/>
        <w:right w:val="none" w:sz="0" w:space="0" w:color="auto"/>
      </w:divBdr>
    </w:div>
    <w:div w:id="711735106">
      <w:bodyDiv w:val="1"/>
      <w:marLeft w:val="0"/>
      <w:marRight w:val="0"/>
      <w:marTop w:val="0"/>
      <w:marBottom w:val="0"/>
      <w:divBdr>
        <w:top w:val="none" w:sz="0" w:space="0" w:color="auto"/>
        <w:left w:val="none" w:sz="0" w:space="0" w:color="auto"/>
        <w:bottom w:val="none" w:sz="0" w:space="0" w:color="auto"/>
        <w:right w:val="none" w:sz="0" w:space="0" w:color="auto"/>
      </w:divBdr>
    </w:div>
    <w:div w:id="848570289">
      <w:bodyDiv w:val="1"/>
      <w:marLeft w:val="0"/>
      <w:marRight w:val="0"/>
      <w:marTop w:val="0"/>
      <w:marBottom w:val="0"/>
      <w:divBdr>
        <w:top w:val="none" w:sz="0" w:space="0" w:color="auto"/>
        <w:left w:val="none" w:sz="0" w:space="0" w:color="auto"/>
        <w:bottom w:val="none" w:sz="0" w:space="0" w:color="auto"/>
        <w:right w:val="none" w:sz="0" w:space="0" w:color="auto"/>
      </w:divBdr>
    </w:div>
    <w:div w:id="866983962">
      <w:bodyDiv w:val="1"/>
      <w:marLeft w:val="0"/>
      <w:marRight w:val="0"/>
      <w:marTop w:val="0"/>
      <w:marBottom w:val="0"/>
      <w:divBdr>
        <w:top w:val="none" w:sz="0" w:space="0" w:color="auto"/>
        <w:left w:val="none" w:sz="0" w:space="0" w:color="auto"/>
        <w:bottom w:val="none" w:sz="0" w:space="0" w:color="auto"/>
        <w:right w:val="none" w:sz="0" w:space="0" w:color="auto"/>
      </w:divBdr>
    </w:div>
    <w:div w:id="879822298">
      <w:bodyDiv w:val="1"/>
      <w:marLeft w:val="0"/>
      <w:marRight w:val="0"/>
      <w:marTop w:val="0"/>
      <w:marBottom w:val="0"/>
      <w:divBdr>
        <w:top w:val="none" w:sz="0" w:space="0" w:color="auto"/>
        <w:left w:val="none" w:sz="0" w:space="0" w:color="auto"/>
        <w:bottom w:val="none" w:sz="0" w:space="0" w:color="auto"/>
        <w:right w:val="none" w:sz="0" w:space="0" w:color="auto"/>
      </w:divBdr>
    </w:div>
    <w:div w:id="894899564">
      <w:bodyDiv w:val="1"/>
      <w:marLeft w:val="0"/>
      <w:marRight w:val="0"/>
      <w:marTop w:val="0"/>
      <w:marBottom w:val="0"/>
      <w:divBdr>
        <w:top w:val="none" w:sz="0" w:space="0" w:color="auto"/>
        <w:left w:val="none" w:sz="0" w:space="0" w:color="auto"/>
        <w:bottom w:val="none" w:sz="0" w:space="0" w:color="auto"/>
        <w:right w:val="none" w:sz="0" w:space="0" w:color="auto"/>
      </w:divBdr>
    </w:div>
    <w:div w:id="896890608">
      <w:bodyDiv w:val="1"/>
      <w:marLeft w:val="0"/>
      <w:marRight w:val="0"/>
      <w:marTop w:val="0"/>
      <w:marBottom w:val="0"/>
      <w:divBdr>
        <w:top w:val="none" w:sz="0" w:space="0" w:color="auto"/>
        <w:left w:val="none" w:sz="0" w:space="0" w:color="auto"/>
        <w:bottom w:val="none" w:sz="0" w:space="0" w:color="auto"/>
        <w:right w:val="none" w:sz="0" w:space="0" w:color="auto"/>
      </w:divBdr>
    </w:div>
    <w:div w:id="908155945">
      <w:bodyDiv w:val="1"/>
      <w:marLeft w:val="0"/>
      <w:marRight w:val="0"/>
      <w:marTop w:val="0"/>
      <w:marBottom w:val="0"/>
      <w:divBdr>
        <w:top w:val="none" w:sz="0" w:space="0" w:color="auto"/>
        <w:left w:val="none" w:sz="0" w:space="0" w:color="auto"/>
        <w:bottom w:val="none" w:sz="0" w:space="0" w:color="auto"/>
        <w:right w:val="none" w:sz="0" w:space="0" w:color="auto"/>
      </w:divBdr>
      <w:divsChild>
        <w:div w:id="1447042618">
          <w:marLeft w:val="547"/>
          <w:marRight w:val="0"/>
          <w:marTop w:val="0"/>
          <w:marBottom w:val="0"/>
          <w:divBdr>
            <w:top w:val="none" w:sz="0" w:space="0" w:color="auto"/>
            <w:left w:val="none" w:sz="0" w:space="0" w:color="auto"/>
            <w:bottom w:val="none" w:sz="0" w:space="0" w:color="auto"/>
            <w:right w:val="none" w:sz="0" w:space="0" w:color="auto"/>
          </w:divBdr>
        </w:div>
      </w:divsChild>
    </w:div>
    <w:div w:id="920676152">
      <w:bodyDiv w:val="1"/>
      <w:marLeft w:val="0"/>
      <w:marRight w:val="0"/>
      <w:marTop w:val="0"/>
      <w:marBottom w:val="0"/>
      <w:divBdr>
        <w:top w:val="none" w:sz="0" w:space="0" w:color="auto"/>
        <w:left w:val="none" w:sz="0" w:space="0" w:color="auto"/>
        <w:bottom w:val="none" w:sz="0" w:space="0" w:color="auto"/>
        <w:right w:val="none" w:sz="0" w:space="0" w:color="auto"/>
      </w:divBdr>
    </w:div>
    <w:div w:id="925650943">
      <w:bodyDiv w:val="1"/>
      <w:marLeft w:val="0"/>
      <w:marRight w:val="0"/>
      <w:marTop w:val="0"/>
      <w:marBottom w:val="0"/>
      <w:divBdr>
        <w:top w:val="none" w:sz="0" w:space="0" w:color="auto"/>
        <w:left w:val="none" w:sz="0" w:space="0" w:color="auto"/>
        <w:bottom w:val="none" w:sz="0" w:space="0" w:color="auto"/>
        <w:right w:val="none" w:sz="0" w:space="0" w:color="auto"/>
      </w:divBdr>
    </w:div>
    <w:div w:id="955479744">
      <w:bodyDiv w:val="1"/>
      <w:marLeft w:val="0"/>
      <w:marRight w:val="0"/>
      <w:marTop w:val="0"/>
      <w:marBottom w:val="0"/>
      <w:divBdr>
        <w:top w:val="none" w:sz="0" w:space="0" w:color="auto"/>
        <w:left w:val="none" w:sz="0" w:space="0" w:color="auto"/>
        <w:bottom w:val="none" w:sz="0" w:space="0" w:color="auto"/>
        <w:right w:val="none" w:sz="0" w:space="0" w:color="auto"/>
      </w:divBdr>
    </w:div>
    <w:div w:id="971791270">
      <w:bodyDiv w:val="1"/>
      <w:marLeft w:val="0"/>
      <w:marRight w:val="0"/>
      <w:marTop w:val="0"/>
      <w:marBottom w:val="0"/>
      <w:divBdr>
        <w:top w:val="none" w:sz="0" w:space="0" w:color="auto"/>
        <w:left w:val="none" w:sz="0" w:space="0" w:color="auto"/>
        <w:bottom w:val="none" w:sz="0" w:space="0" w:color="auto"/>
        <w:right w:val="none" w:sz="0" w:space="0" w:color="auto"/>
      </w:divBdr>
    </w:div>
    <w:div w:id="1019160678">
      <w:bodyDiv w:val="1"/>
      <w:marLeft w:val="0"/>
      <w:marRight w:val="0"/>
      <w:marTop w:val="0"/>
      <w:marBottom w:val="0"/>
      <w:divBdr>
        <w:top w:val="none" w:sz="0" w:space="0" w:color="auto"/>
        <w:left w:val="none" w:sz="0" w:space="0" w:color="auto"/>
        <w:bottom w:val="none" w:sz="0" w:space="0" w:color="auto"/>
        <w:right w:val="none" w:sz="0" w:space="0" w:color="auto"/>
      </w:divBdr>
    </w:div>
    <w:div w:id="1060709131">
      <w:bodyDiv w:val="1"/>
      <w:marLeft w:val="0"/>
      <w:marRight w:val="0"/>
      <w:marTop w:val="0"/>
      <w:marBottom w:val="0"/>
      <w:divBdr>
        <w:top w:val="none" w:sz="0" w:space="0" w:color="auto"/>
        <w:left w:val="none" w:sz="0" w:space="0" w:color="auto"/>
        <w:bottom w:val="none" w:sz="0" w:space="0" w:color="auto"/>
        <w:right w:val="none" w:sz="0" w:space="0" w:color="auto"/>
      </w:divBdr>
    </w:div>
    <w:div w:id="1105541397">
      <w:bodyDiv w:val="1"/>
      <w:marLeft w:val="0"/>
      <w:marRight w:val="0"/>
      <w:marTop w:val="0"/>
      <w:marBottom w:val="0"/>
      <w:divBdr>
        <w:top w:val="none" w:sz="0" w:space="0" w:color="auto"/>
        <w:left w:val="none" w:sz="0" w:space="0" w:color="auto"/>
        <w:bottom w:val="none" w:sz="0" w:space="0" w:color="auto"/>
        <w:right w:val="none" w:sz="0" w:space="0" w:color="auto"/>
      </w:divBdr>
    </w:div>
    <w:div w:id="1192959041">
      <w:bodyDiv w:val="1"/>
      <w:marLeft w:val="0"/>
      <w:marRight w:val="0"/>
      <w:marTop w:val="0"/>
      <w:marBottom w:val="0"/>
      <w:divBdr>
        <w:top w:val="none" w:sz="0" w:space="0" w:color="auto"/>
        <w:left w:val="none" w:sz="0" w:space="0" w:color="auto"/>
        <w:bottom w:val="none" w:sz="0" w:space="0" w:color="auto"/>
        <w:right w:val="none" w:sz="0" w:space="0" w:color="auto"/>
      </w:divBdr>
    </w:div>
    <w:div w:id="1204052221">
      <w:bodyDiv w:val="1"/>
      <w:marLeft w:val="0"/>
      <w:marRight w:val="0"/>
      <w:marTop w:val="0"/>
      <w:marBottom w:val="0"/>
      <w:divBdr>
        <w:top w:val="none" w:sz="0" w:space="0" w:color="auto"/>
        <w:left w:val="none" w:sz="0" w:space="0" w:color="auto"/>
        <w:bottom w:val="none" w:sz="0" w:space="0" w:color="auto"/>
        <w:right w:val="none" w:sz="0" w:space="0" w:color="auto"/>
      </w:divBdr>
    </w:div>
    <w:div w:id="1221939885">
      <w:bodyDiv w:val="1"/>
      <w:marLeft w:val="0"/>
      <w:marRight w:val="0"/>
      <w:marTop w:val="0"/>
      <w:marBottom w:val="0"/>
      <w:divBdr>
        <w:top w:val="none" w:sz="0" w:space="0" w:color="auto"/>
        <w:left w:val="none" w:sz="0" w:space="0" w:color="auto"/>
        <w:bottom w:val="none" w:sz="0" w:space="0" w:color="auto"/>
        <w:right w:val="none" w:sz="0" w:space="0" w:color="auto"/>
      </w:divBdr>
    </w:div>
    <w:div w:id="1236627083">
      <w:bodyDiv w:val="1"/>
      <w:marLeft w:val="0"/>
      <w:marRight w:val="0"/>
      <w:marTop w:val="0"/>
      <w:marBottom w:val="0"/>
      <w:divBdr>
        <w:top w:val="none" w:sz="0" w:space="0" w:color="auto"/>
        <w:left w:val="none" w:sz="0" w:space="0" w:color="auto"/>
        <w:bottom w:val="none" w:sz="0" w:space="0" w:color="auto"/>
        <w:right w:val="none" w:sz="0" w:space="0" w:color="auto"/>
      </w:divBdr>
    </w:div>
    <w:div w:id="1254700304">
      <w:bodyDiv w:val="1"/>
      <w:marLeft w:val="0"/>
      <w:marRight w:val="0"/>
      <w:marTop w:val="0"/>
      <w:marBottom w:val="0"/>
      <w:divBdr>
        <w:top w:val="none" w:sz="0" w:space="0" w:color="auto"/>
        <w:left w:val="none" w:sz="0" w:space="0" w:color="auto"/>
        <w:bottom w:val="none" w:sz="0" w:space="0" w:color="auto"/>
        <w:right w:val="none" w:sz="0" w:space="0" w:color="auto"/>
      </w:divBdr>
      <w:divsChild>
        <w:div w:id="653921283">
          <w:marLeft w:val="547"/>
          <w:marRight w:val="0"/>
          <w:marTop w:val="0"/>
          <w:marBottom w:val="0"/>
          <w:divBdr>
            <w:top w:val="none" w:sz="0" w:space="0" w:color="auto"/>
            <w:left w:val="none" w:sz="0" w:space="0" w:color="auto"/>
            <w:bottom w:val="none" w:sz="0" w:space="0" w:color="auto"/>
            <w:right w:val="none" w:sz="0" w:space="0" w:color="auto"/>
          </w:divBdr>
        </w:div>
      </w:divsChild>
    </w:div>
    <w:div w:id="1312293303">
      <w:bodyDiv w:val="1"/>
      <w:marLeft w:val="0"/>
      <w:marRight w:val="0"/>
      <w:marTop w:val="0"/>
      <w:marBottom w:val="0"/>
      <w:divBdr>
        <w:top w:val="none" w:sz="0" w:space="0" w:color="auto"/>
        <w:left w:val="none" w:sz="0" w:space="0" w:color="auto"/>
        <w:bottom w:val="none" w:sz="0" w:space="0" w:color="auto"/>
        <w:right w:val="none" w:sz="0" w:space="0" w:color="auto"/>
      </w:divBdr>
    </w:div>
    <w:div w:id="1422725482">
      <w:bodyDiv w:val="1"/>
      <w:marLeft w:val="0"/>
      <w:marRight w:val="0"/>
      <w:marTop w:val="0"/>
      <w:marBottom w:val="0"/>
      <w:divBdr>
        <w:top w:val="none" w:sz="0" w:space="0" w:color="auto"/>
        <w:left w:val="none" w:sz="0" w:space="0" w:color="auto"/>
        <w:bottom w:val="none" w:sz="0" w:space="0" w:color="auto"/>
        <w:right w:val="none" w:sz="0" w:space="0" w:color="auto"/>
      </w:divBdr>
    </w:div>
    <w:div w:id="1483961430">
      <w:bodyDiv w:val="1"/>
      <w:marLeft w:val="0"/>
      <w:marRight w:val="0"/>
      <w:marTop w:val="0"/>
      <w:marBottom w:val="0"/>
      <w:divBdr>
        <w:top w:val="none" w:sz="0" w:space="0" w:color="auto"/>
        <w:left w:val="none" w:sz="0" w:space="0" w:color="auto"/>
        <w:bottom w:val="none" w:sz="0" w:space="0" w:color="auto"/>
        <w:right w:val="none" w:sz="0" w:space="0" w:color="auto"/>
      </w:divBdr>
    </w:div>
    <w:div w:id="1501966997">
      <w:bodyDiv w:val="1"/>
      <w:marLeft w:val="0"/>
      <w:marRight w:val="0"/>
      <w:marTop w:val="0"/>
      <w:marBottom w:val="0"/>
      <w:divBdr>
        <w:top w:val="none" w:sz="0" w:space="0" w:color="auto"/>
        <w:left w:val="none" w:sz="0" w:space="0" w:color="auto"/>
        <w:bottom w:val="none" w:sz="0" w:space="0" w:color="auto"/>
        <w:right w:val="none" w:sz="0" w:space="0" w:color="auto"/>
      </w:divBdr>
    </w:div>
    <w:div w:id="1557398320">
      <w:bodyDiv w:val="1"/>
      <w:marLeft w:val="0"/>
      <w:marRight w:val="0"/>
      <w:marTop w:val="0"/>
      <w:marBottom w:val="0"/>
      <w:divBdr>
        <w:top w:val="none" w:sz="0" w:space="0" w:color="auto"/>
        <w:left w:val="none" w:sz="0" w:space="0" w:color="auto"/>
        <w:bottom w:val="none" w:sz="0" w:space="0" w:color="auto"/>
        <w:right w:val="none" w:sz="0" w:space="0" w:color="auto"/>
      </w:divBdr>
    </w:div>
    <w:div w:id="1589268113">
      <w:bodyDiv w:val="1"/>
      <w:marLeft w:val="0"/>
      <w:marRight w:val="0"/>
      <w:marTop w:val="0"/>
      <w:marBottom w:val="0"/>
      <w:divBdr>
        <w:top w:val="none" w:sz="0" w:space="0" w:color="auto"/>
        <w:left w:val="none" w:sz="0" w:space="0" w:color="auto"/>
        <w:bottom w:val="none" w:sz="0" w:space="0" w:color="auto"/>
        <w:right w:val="none" w:sz="0" w:space="0" w:color="auto"/>
      </w:divBdr>
    </w:div>
    <w:div w:id="1593930459">
      <w:bodyDiv w:val="1"/>
      <w:marLeft w:val="0"/>
      <w:marRight w:val="0"/>
      <w:marTop w:val="0"/>
      <w:marBottom w:val="0"/>
      <w:divBdr>
        <w:top w:val="none" w:sz="0" w:space="0" w:color="auto"/>
        <w:left w:val="none" w:sz="0" w:space="0" w:color="auto"/>
        <w:bottom w:val="none" w:sz="0" w:space="0" w:color="auto"/>
        <w:right w:val="none" w:sz="0" w:space="0" w:color="auto"/>
      </w:divBdr>
    </w:div>
    <w:div w:id="1636250966">
      <w:bodyDiv w:val="1"/>
      <w:marLeft w:val="0"/>
      <w:marRight w:val="0"/>
      <w:marTop w:val="0"/>
      <w:marBottom w:val="0"/>
      <w:divBdr>
        <w:top w:val="none" w:sz="0" w:space="0" w:color="auto"/>
        <w:left w:val="none" w:sz="0" w:space="0" w:color="auto"/>
        <w:bottom w:val="none" w:sz="0" w:space="0" w:color="auto"/>
        <w:right w:val="none" w:sz="0" w:space="0" w:color="auto"/>
      </w:divBdr>
    </w:div>
    <w:div w:id="1665161328">
      <w:bodyDiv w:val="1"/>
      <w:marLeft w:val="0"/>
      <w:marRight w:val="0"/>
      <w:marTop w:val="0"/>
      <w:marBottom w:val="0"/>
      <w:divBdr>
        <w:top w:val="none" w:sz="0" w:space="0" w:color="auto"/>
        <w:left w:val="none" w:sz="0" w:space="0" w:color="auto"/>
        <w:bottom w:val="none" w:sz="0" w:space="0" w:color="auto"/>
        <w:right w:val="none" w:sz="0" w:space="0" w:color="auto"/>
      </w:divBdr>
    </w:div>
    <w:div w:id="1716083805">
      <w:bodyDiv w:val="1"/>
      <w:marLeft w:val="0"/>
      <w:marRight w:val="0"/>
      <w:marTop w:val="0"/>
      <w:marBottom w:val="0"/>
      <w:divBdr>
        <w:top w:val="none" w:sz="0" w:space="0" w:color="auto"/>
        <w:left w:val="none" w:sz="0" w:space="0" w:color="auto"/>
        <w:bottom w:val="none" w:sz="0" w:space="0" w:color="auto"/>
        <w:right w:val="none" w:sz="0" w:space="0" w:color="auto"/>
      </w:divBdr>
    </w:div>
    <w:div w:id="1739740911">
      <w:bodyDiv w:val="1"/>
      <w:marLeft w:val="0"/>
      <w:marRight w:val="0"/>
      <w:marTop w:val="0"/>
      <w:marBottom w:val="0"/>
      <w:divBdr>
        <w:top w:val="none" w:sz="0" w:space="0" w:color="auto"/>
        <w:left w:val="none" w:sz="0" w:space="0" w:color="auto"/>
        <w:bottom w:val="none" w:sz="0" w:space="0" w:color="auto"/>
        <w:right w:val="none" w:sz="0" w:space="0" w:color="auto"/>
      </w:divBdr>
    </w:div>
    <w:div w:id="1772315624">
      <w:bodyDiv w:val="1"/>
      <w:marLeft w:val="0"/>
      <w:marRight w:val="0"/>
      <w:marTop w:val="0"/>
      <w:marBottom w:val="0"/>
      <w:divBdr>
        <w:top w:val="none" w:sz="0" w:space="0" w:color="auto"/>
        <w:left w:val="none" w:sz="0" w:space="0" w:color="auto"/>
        <w:bottom w:val="none" w:sz="0" w:space="0" w:color="auto"/>
        <w:right w:val="none" w:sz="0" w:space="0" w:color="auto"/>
      </w:divBdr>
    </w:div>
    <w:div w:id="1780027070">
      <w:bodyDiv w:val="1"/>
      <w:marLeft w:val="0"/>
      <w:marRight w:val="0"/>
      <w:marTop w:val="0"/>
      <w:marBottom w:val="0"/>
      <w:divBdr>
        <w:top w:val="none" w:sz="0" w:space="0" w:color="auto"/>
        <w:left w:val="none" w:sz="0" w:space="0" w:color="auto"/>
        <w:bottom w:val="none" w:sz="0" w:space="0" w:color="auto"/>
        <w:right w:val="none" w:sz="0" w:space="0" w:color="auto"/>
      </w:divBdr>
    </w:div>
    <w:div w:id="1801217386">
      <w:bodyDiv w:val="1"/>
      <w:marLeft w:val="0"/>
      <w:marRight w:val="0"/>
      <w:marTop w:val="0"/>
      <w:marBottom w:val="0"/>
      <w:divBdr>
        <w:top w:val="none" w:sz="0" w:space="0" w:color="auto"/>
        <w:left w:val="none" w:sz="0" w:space="0" w:color="auto"/>
        <w:bottom w:val="none" w:sz="0" w:space="0" w:color="auto"/>
        <w:right w:val="none" w:sz="0" w:space="0" w:color="auto"/>
      </w:divBdr>
    </w:div>
    <w:div w:id="1831480062">
      <w:bodyDiv w:val="1"/>
      <w:marLeft w:val="0"/>
      <w:marRight w:val="0"/>
      <w:marTop w:val="0"/>
      <w:marBottom w:val="0"/>
      <w:divBdr>
        <w:top w:val="none" w:sz="0" w:space="0" w:color="auto"/>
        <w:left w:val="none" w:sz="0" w:space="0" w:color="auto"/>
        <w:bottom w:val="none" w:sz="0" w:space="0" w:color="auto"/>
        <w:right w:val="none" w:sz="0" w:space="0" w:color="auto"/>
      </w:divBdr>
    </w:div>
    <w:div w:id="1879126202">
      <w:bodyDiv w:val="1"/>
      <w:marLeft w:val="0"/>
      <w:marRight w:val="0"/>
      <w:marTop w:val="0"/>
      <w:marBottom w:val="0"/>
      <w:divBdr>
        <w:top w:val="none" w:sz="0" w:space="0" w:color="auto"/>
        <w:left w:val="none" w:sz="0" w:space="0" w:color="auto"/>
        <w:bottom w:val="none" w:sz="0" w:space="0" w:color="auto"/>
        <w:right w:val="none" w:sz="0" w:space="0" w:color="auto"/>
      </w:divBdr>
    </w:div>
    <w:div w:id="1961261185">
      <w:bodyDiv w:val="1"/>
      <w:marLeft w:val="0"/>
      <w:marRight w:val="0"/>
      <w:marTop w:val="0"/>
      <w:marBottom w:val="0"/>
      <w:divBdr>
        <w:top w:val="none" w:sz="0" w:space="0" w:color="auto"/>
        <w:left w:val="none" w:sz="0" w:space="0" w:color="auto"/>
        <w:bottom w:val="none" w:sz="0" w:space="0" w:color="auto"/>
        <w:right w:val="none" w:sz="0" w:space="0" w:color="auto"/>
      </w:divBdr>
    </w:div>
    <w:div w:id="1981183263">
      <w:bodyDiv w:val="1"/>
      <w:marLeft w:val="0"/>
      <w:marRight w:val="0"/>
      <w:marTop w:val="0"/>
      <w:marBottom w:val="0"/>
      <w:divBdr>
        <w:top w:val="none" w:sz="0" w:space="0" w:color="auto"/>
        <w:left w:val="none" w:sz="0" w:space="0" w:color="auto"/>
        <w:bottom w:val="none" w:sz="0" w:space="0" w:color="auto"/>
        <w:right w:val="none" w:sz="0" w:space="0" w:color="auto"/>
      </w:divBdr>
    </w:div>
    <w:div w:id="2026592045">
      <w:bodyDiv w:val="1"/>
      <w:marLeft w:val="0"/>
      <w:marRight w:val="0"/>
      <w:marTop w:val="0"/>
      <w:marBottom w:val="0"/>
      <w:divBdr>
        <w:top w:val="none" w:sz="0" w:space="0" w:color="auto"/>
        <w:left w:val="none" w:sz="0" w:space="0" w:color="auto"/>
        <w:bottom w:val="none" w:sz="0" w:space="0" w:color="auto"/>
        <w:right w:val="none" w:sz="0" w:space="0" w:color="auto"/>
      </w:divBdr>
    </w:div>
    <w:div w:id="209697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cj.gob.cl/otorgamiento/contexto.html" TargetMode="External"/><Relationship Id="rId18" Type="http://schemas.openxmlformats.org/officeDocument/2006/relationships/hyperlink" Target="http://www.scj.gob.cl/otorgamiento/contexto.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j.gob.cl/otorgamiento/contexto.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scj.gob.cl/otorgamiento/contexto.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cj.gob.cl/otorgamiento/contexto.html" TargetMode="External"/><Relationship Id="rId20" Type="http://schemas.openxmlformats.org/officeDocument/2006/relationships/hyperlink" Target="mailto:xxx@scj.gov.c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cj.cl" TargetMode="External"/><Relationship Id="rId5" Type="http://schemas.openxmlformats.org/officeDocument/2006/relationships/customXml" Target="../customXml/item5.xml"/><Relationship Id="rId15" Type="http://schemas.openxmlformats.org/officeDocument/2006/relationships/hyperlink" Target="mailto:proceso2016@scj.gob.cl" TargetMode="External"/><Relationship Id="rId23" Type="http://schemas.openxmlformats.org/officeDocument/2006/relationships/hyperlink" Target="http://www.scj.gob.cl/otorgamiento/contexto.html" TargetMode="Externa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scj.gob.cl/otorgamiento/contexto.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cj.gob.cl/otorgamiento/contexto.html" TargetMode="External"/><Relationship Id="rId22" Type="http://schemas.openxmlformats.org/officeDocument/2006/relationships/hyperlink" Target="http://www.scj.gob.cl/otorgamiento/contexto.html"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CFE0B-5A49-4F28-8271-0C44324B92F5}">
  <ds:schemaRefs>
    <ds:schemaRef ds:uri="http://schemas.openxmlformats.org/officeDocument/2006/bibliography"/>
  </ds:schemaRefs>
</ds:datastoreItem>
</file>

<file path=customXml/itemProps2.xml><?xml version="1.0" encoding="utf-8"?>
<ds:datastoreItem xmlns:ds="http://schemas.openxmlformats.org/officeDocument/2006/customXml" ds:itemID="{0FCAAD65-F4C5-4398-82F5-00CF65A52275}">
  <ds:schemaRefs>
    <ds:schemaRef ds:uri="http://schemas.openxmlformats.org/officeDocument/2006/bibliography"/>
  </ds:schemaRefs>
</ds:datastoreItem>
</file>

<file path=customXml/itemProps3.xml><?xml version="1.0" encoding="utf-8"?>
<ds:datastoreItem xmlns:ds="http://schemas.openxmlformats.org/officeDocument/2006/customXml" ds:itemID="{E40E4B44-0502-4A95-8919-A1CF6B999A44}">
  <ds:schemaRefs>
    <ds:schemaRef ds:uri="http://schemas.openxmlformats.org/officeDocument/2006/bibliography"/>
  </ds:schemaRefs>
</ds:datastoreItem>
</file>

<file path=customXml/itemProps4.xml><?xml version="1.0" encoding="utf-8"?>
<ds:datastoreItem xmlns:ds="http://schemas.openxmlformats.org/officeDocument/2006/customXml" ds:itemID="{82F70AC0-14AD-4C1C-90D6-A969AC470E37}">
  <ds:schemaRefs>
    <ds:schemaRef ds:uri="http://schemas.openxmlformats.org/officeDocument/2006/bibliography"/>
  </ds:schemaRefs>
</ds:datastoreItem>
</file>

<file path=customXml/itemProps5.xml><?xml version="1.0" encoding="utf-8"?>
<ds:datastoreItem xmlns:ds="http://schemas.openxmlformats.org/officeDocument/2006/customXml" ds:itemID="{5C8AC5B5-F6E8-45A3-8811-B5495C6BAF91}">
  <ds:schemaRefs>
    <ds:schemaRef ds:uri="http://schemas.openxmlformats.org/officeDocument/2006/bibliography"/>
  </ds:schemaRefs>
</ds:datastoreItem>
</file>

<file path=customXml/itemProps6.xml><?xml version="1.0" encoding="utf-8"?>
<ds:datastoreItem xmlns:ds="http://schemas.openxmlformats.org/officeDocument/2006/customXml" ds:itemID="{84FD2C82-8514-449B-A2C9-897C9DAF4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10008</Words>
  <Characters>58101</Characters>
  <Application>Microsoft Office Word</Application>
  <DocSecurity>0</DocSecurity>
  <Lines>484</Lines>
  <Paragraphs>135</Paragraphs>
  <ScaleCrop>false</ScaleCrop>
  <HeadingPairs>
    <vt:vector size="2" baseType="variant">
      <vt:variant>
        <vt:lpstr>Título</vt:lpstr>
      </vt:variant>
      <vt:variant>
        <vt:i4>1</vt:i4>
      </vt:variant>
    </vt:vector>
  </HeadingPairs>
  <TitlesOfParts>
    <vt:vector size="1" baseType="lpstr">
      <vt:lpstr/>
    </vt:vector>
  </TitlesOfParts>
  <Company>Superintendencia de Casinos de Juego</Company>
  <LinksUpToDate>false</LinksUpToDate>
  <CharactersWithSpaces>67974</CharactersWithSpaces>
  <SharedDoc>false</SharedDoc>
  <HLinks>
    <vt:vector size="192" baseType="variant">
      <vt:variant>
        <vt:i4>8257649</vt:i4>
      </vt:variant>
      <vt:variant>
        <vt:i4>168</vt:i4>
      </vt:variant>
      <vt:variant>
        <vt:i4>0</vt:i4>
      </vt:variant>
      <vt:variant>
        <vt:i4>5</vt:i4>
      </vt:variant>
      <vt:variant>
        <vt:lpwstr>http://www.scj.cl/</vt:lpwstr>
      </vt:variant>
      <vt:variant>
        <vt:lpwstr/>
      </vt:variant>
      <vt:variant>
        <vt:i4>8060976</vt:i4>
      </vt:variant>
      <vt:variant>
        <vt:i4>165</vt:i4>
      </vt:variant>
      <vt:variant>
        <vt:i4>0</vt:i4>
      </vt:variant>
      <vt:variant>
        <vt:i4>5</vt:i4>
      </vt:variant>
      <vt:variant>
        <vt:lpwstr>http://www.scj.gob.cl/</vt:lpwstr>
      </vt:variant>
      <vt:variant>
        <vt:lpwstr/>
      </vt:variant>
      <vt:variant>
        <vt:i4>8257649</vt:i4>
      </vt:variant>
      <vt:variant>
        <vt:i4>162</vt:i4>
      </vt:variant>
      <vt:variant>
        <vt:i4>0</vt:i4>
      </vt:variant>
      <vt:variant>
        <vt:i4>5</vt:i4>
      </vt:variant>
      <vt:variant>
        <vt:lpwstr>http://www.scj.cl/</vt:lpwstr>
      </vt:variant>
      <vt:variant>
        <vt:lpwstr/>
      </vt:variant>
      <vt:variant>
        <vt:i4>8060976</vt:i4>
      </vt:variant>
      <vt:variant>
        <vt:i4>159</vt:i4>
      </vt:variant>
      <vt:variant>
        <vt:i4>0</vt:i4>
      </vt:variant>
      <vt:variant>
        <vt:i4>5</vt:i4>
      </vt:variant>
      <vt:variant>
        <vt:lpwstr>http://www.scj.gob.cl/</vt:lpwstr>
      </vt:variant>
      <vt:variant>
        <vt:lpwstr/>
      </vt:variant>
      <vt:variant>
        <vt:i4>8060976</vt:i4>
      </vt:variant>
      <vt:variant>
        <vt:i4>156</vt:i4>
      </vt:variant>
      <vt:variant>
        <vt:i4>0</vt:i4>
      </vt:variant>
      <vt:variant>
        <vt:i4>5</vt:i4>
      </vt:variant>
      <vt:variant>
        <vt:lpwstr>http://www.scj.gob.cl/</vt:lpwstr>
      </vt:variant>
      <vt:variant>
        <vt:lpwstr/>
      </vt:variant>
      <vt:variant>
        <vt:i4>8257649</vt:i4>
      </vt:variant>
      <vt:variant>
        <vt:i4>153</vt:i4>
      </vt:variant>
      <vt:variant>
        <vt:i4>0</vt:i4>
      </vt:variant>
      <vt:variant>
        <vt:i4>5</vt:i4>
      </vt:variant>
      <vt:variant>
        <vt:lpwstr>http://www.scj.cl/</vt:lpwstr>
      </vt:variant>
      <vt:variant>
        <vt:lpwstr/>
      </vt:variant>
      <vt:variant>
        <vt:i4>8257649</vt:i4>
      </vt:variant>
      <vt:variant>
        <vt:i4>150</vt:i4>
      </vt:variant>
      <vt:variant>
        <vt:i4>0</vt:i4>
      </vt:variant>
      <vt:variant>
        <vt:i4>5</vt:i4>
      </vt:variant>
      <vt:variant>
        <vt:lpwstr>http://www.scj.cl/</vt:lpwstr>
      </vt:variant>
      <vt:variant>
        <vt:lpwstr/>
      </vt:variant>
      <vt:variant>
        <vt:i4>8060976</vt:i4>
      </vt:variant>
      <vt:variant>
        <vt:i4>147</vt:i4>
      </vt:variant>
      <vt:variant>
        <vt:i4>0</vt:i4>
      </vt:variant>
      <vt:variant>
        <vt:i4>5</vt:i4>
      </vt:variant>
      <vt:variant>
        <vt:lpwstr>http://www.scj.gob.cl/</vt:lpwstr>
      </vt:variant>
      <vt:variant>
        <vt:lpwstr/>
      </vt:variant>
      <vt:variant>
        <vt:i4>1179697</vt:i4>
      </vt:variant>
      <vt:variant>
        <vt:i4>140</vt:i4>
      </vt:variant>
      <vt:variant>
        <vt:i4>0</vt:i4>
      </vt:variant>
      <vt:variant>
        <vt:i4>5</vt:i4>
      </vt:variant>
      <vt:variant>
        <vt:lpwstr/>
      </vt:variant>
      <vt:variant>
        <vt:lpwstr>_Toc441761270</vt:lpwstr>
      </vt:variant>
      <vt:variant>
        <vt:i4>1245233</vt:i4>
      </vt:variant>
      <vt:variant>
        <vt:i4>134</vt:i4>
      </vt:variant>
      <vt:variant>
        <vt:i4>0</vt:i4>
      </vt:variant>
      <vt:variant>
        <vt:i4>5</vt:i4>
      </vt:variant>
      <vt:variant>
        <vt:lpwstr/>
      </vt:variant>
      <vt:variant>
        <vt:lpwstr>_Toc441761269</vt:lpwstr>
      </vt:variant>
      <vt:variant>
        <vt:i4>1245233</vt:i4>
      </vt:variant>
      <vt:variant>
        <vt:i4>128</vt:i4>
      </vt:variant>
      <vt:variant>
        <vt:i4>0</vt:i4>
      </vt:variant>
      <vt:variant>
        <vt:i4>5</vt:i4>
      </vt:variant>
      <vt:variant>
        <vt:lpwstr/>
      </vt:variant>
      <vt:variant>
        <vt:lpwstr>_Toc441761268</vt:lpwstr>
      </vt:variant>
      <vt:variant>
        <vt:i4>1245233</vt:i4>
      </vt:variant>
      <vt:variant>
        <vt:i4>122</vt:i4>
      </vt:variant>
      <vt:variant>
        <vt:i4>0</vt:i4>
      </vt:variant>
      <vt:variant>
        <vt:i4>5</vt:i4>
      </vt:variant>
      <vt:variant>
        <vt:lpwstr/>
      </vt:variant>
      <vt:variant>
        <vt:lpwstr>_Toc441761267</vt:lpwstr>
      </vt:variant>
      <vt:variant>
        <vt:i4>1245233</vt:i4>
      </vt:variant>
      <vt:variant>
        <vt:i4>116</vt:i4>
      </vt:variant>
      <vt:variant>
        <vt:i4>0</vt:i4>
      </vt:variant>
      <vt:variant>
        <vt:i4>5</vt:i4>
      </vt:variant>
      <vt:variant>
        <vt:lpwstr/>
      </vt:variant>
      <vt:variant>
        <vt:lpwstr>_Toc441761266</vt:lpwstr>
      </vt:variant>
      <vt:variant>
        <vt:i4>1245233</vt:i4>
      </vt:variant>
      <vt:variant>
        <vt:i4>110</vt:i4>
      </vt:variant>
      <vt:variant>
        <vt:i4>0</vt:i4>
      </vt:variant>
      <vt:variant>
        <vt:i4>5</vt:i4>
      </vt:variant>
      <vt:variant>
        <vt:lpwstr/>
      </vt:variant>
      <vt:variant>
        <vt:lpwstr>_Toc441761265</vt:lpwstr>
      </vt:variant>
      <vt:variant>
        <vt:i4>1245233</vt:i4>
      </vt:variant>
      <vt:variant>
        <vt:i4>104</vt:i4>
      </vt:variant>
      <vt:variant>
        <vt:i4>0</vt:i4>
      </vt:variant>
      <vt:variant>
        <vt:i4>5</vt:i4>
      </vt:variant>
      <vt:variant>
        <vt:lpwstr/>
      </vt:variant>
      <vt:variant>
        <vt:lpwstr>_Toc441761264</vt:lpwstr>
      </vt:variant>
      <vt:variant>
        <vt:i4>1245233</vt:i4>
      </vt:variant>
      <vt:variant>
        <vt:i4>98</vt:i4>
      </vt:variant>
      <vt:variant>
        <vt:i4>0</vt:i4>
      </vt:variant>
      <vt:variant>
        <vt:i4>5</vt:i4>
      </vt:variant>
      <vt:variant>
        <vt:lpwstr/>
      </vt:variant>
      <vt:variant>
        <vt:lpwstr>_Toc441761263</vt:lpwstr>
      </vt:variant>
      <vt:variant>
        <vt:i4>1245233</vt:i4>
      </vt:variant>
      <vt:variant>
        <vt:i4>92</vt:i4>
      </vt:variant>
      <vt:variant>
        <vt:i4>0</vt:i4>
      </vt:variant>
      <vt:variant>
        <vt:i4>5</vt:i4>
      </vt:variant>
      <vt:variant>
        <vt:lpwstr/>
      </vt:variant>
      <vt:variant>
        <vt:lpwstr>_Toc441761262</vt:lpwstr>
      </vt:variant>
      <vt:variant>
        <vt:i4>1245233</vt:i4>
      </vt:variant>
      <vt:variant>
        <vt:i4>86</vt:i4>
      </vt:variant>
      <vt:variant>
        <vt:i4>0</vt:i4>
      </vt:variant>
      <vt:variant>
        <vt:i4>5</vt:i4>
      </vt:variant>
      <vt:variant>
        <vt:lpwstr/>
      </vt:variant>
      <vt:variant>
        <vt:lpwstr>_Toc441761261</vt:lpwstr>
      </vt:variant>
      <vt:variant>
        <vt:i4>1245233</vt:i4>
      </vt:variant>
      <vt:variant>
        <vt:i4>80</vt:i4>
      </vt:variant>
      <vt:variant>
        <vt:i4>0</vt:i4>
      </vt:variant>
      <vt:variant>
        <vt:i4>5</vt:i4>
      </vt:variant>
      <vt:variant>
        <vt:lpwstr/>
      </vt:variant>
      <vt:variant>
        <vt:lpwstr>_Toc441761260</vt:lpwstr>
      </vt:variant>
      <vt:variant>
        <vt:i4>1048625</vt:i4>
      </vt:variant>
      <vt:variant>
        <vt:i4>74</vt:i4>
      </vt:variant>
      <vt:variant>
        <vt:i4>0</vt:i4>
      </vt:variant>
      <vt:variant>
        <vt:i4>5</vt:i4>
      </vt:variant>
      <vt:variant>
        <vt:lpwstr/>
      </vt:variant>
      <vt:variant>
        <vt:lpwstr>_Toc441761259</vt:lpwstr>
      </vt:variant>
      <vt:variant>
        <vt:i4>1048625</vt:i4>
      </vt:variant>
      <vt:variant>
        <vt:i4>68</vt:i4>
      </vt:variant>
      <vt:variant>
        <vt:i4>0</vt:i4>
      </vt:variant>
      <vt:variant>
        <vt:i4>5</vt:i4>
      </vt:variant>
      <vt:variant>
        <vt:lpwstr/>
      </vt:variant>
      <vt:variant>
        <vt:lpwstr>_Toc441761258</vt:lpwstr>
      </vt:variant>
      <vt:variant>
        <vt:i4>1048625</vt:i4>
      </vt:variant>
      <vt:variant>
        <vt:i4>62</vt:i4>
      </vt:variant>
      <vt:variant>
        <vt:i4>0</vt:i4>
      </vt:variant>
      <vt:variant>
        <vt:i4>5</vt:i4>
      </vt:variant>
      <vt:variant>
        <vt:lpwstr/>
      </vt:variant>
      <vt:variant>
        <vt:lpwstr>_Toc441761257</vt:lpwstr>
      </vt:variant>
      <vt:variant>
        <vt:i4>1048625</vt:i4>
      </vt:variant>
      <vt:variant>
        <vt:i4>56</vt:i4>
      </vt:variant>
      <vt:variant>
        <vt:i4>0</vt:i4>
      </vt:variant>
      <vt:variant>
        <vt:i4>5</vt:i4>
      </vt:variant>
      <vt:variant>
        <vt:lpwstr/>
      </vt:variant>
      <vt:variant>
        <vt:lpwstr>_Toc441761256</vt:lpwstr>
      </vt:variant>
      <vt:variant>
        <vt:i4>1048625</vt:i4>
      </vt:variant>
      <vt:variant>
        <vt:i4>50</vt:i4>
      </vt:variant>
      <vt:variant>
        <vt:i4>0</vt:i4>
      </vt:variant>
      <vt:variant>
        <vt:i4>5</vt:i4>
      </vt:variant>
      <vt:variant>
        <vt:lpwstr/>
      </vt:variant>
      <vt:variant>
        <vt:lpwstr>_Toc441761255</vt:lpwstr>
      </vt:variant>
      <vt:variant>
        <vt:i4>1048625</vt:i4>
      </vt:variant>
      <vt:variant>
        <vt:i4>44</vt:i4>
      </vt:variant>
      <vt:variant>
        <vt:i4>0</vt:i4>
      </vt:variant>
      <vt:variant>
        <vt:i4>5</vt:i4>
      </vt:variant>
      <vt:variant>
        <vt:lpwstr/>
      </vt:variant>
      <vt:variant>
        <vt:lpwstr>_Toc441761254</vt:lpwstr>
      </vt:variant>
      <vt:variant>
        <vt:i4>1048625</vt:i4>
      </vt:variant>
      <vt:variant>
        <vt:i4>38</vt:i4>
      </vt:variant>
      <vt:variant>
        <vt:i4>0</vt:i4>
      </vt:variant>
      <vt:variant>
        <vt:i4>5</vt:i4>
      </vt:variant>
      <vt:variant>
        <vt:lpwstr/>
      </vt:variant>
      <vt:variant>
        <vt:lpwstr>_Toc441761253</vt:lpwstr>
      </vt:variant>
      <vt:variant>
        <vt:i4>1048625</vt:i4>
      </vt:variant>
      <vt:variant>
        <vt:i4>32</vt:i4>
      </vt:variant>
      <vt:variant>
        <vt:i4>0</vt:i4>
      </vt:variant>
      <vt:variant>
        <vt:i4>5</vt:i4>
      </vt:variant>
      <vt:variant>
        <vt:lpwstr/>
      </vt:variant>
      <vt:variant>
        <vt:lpwstr>_Toc441761252</vt:lpwstr>
      </vt:variant>
      <vt:variant>
        <vt:i4>1048625</vt:i4>
      </vt:variant>
      <vt:variant>
        <vt:i4>26</vt:i4>
      </vt:variant>
      <vt:variant>
        <vt:i4>0</vt:i4>
      </vt:variant>
      <vt:variant>
        <vt:i4>5</vt:i4>
      </vt:variant>
      <vt:variant>
        <vt:lpwstr/>
      </vt:variant>
      <vt:variant>
        <vt:lpwstr>_Toc441761251</vt:lpwstr>
      </vt:variant>
      <vt:variant>
        <vt:i4>1048625</vt:i4>
      </vt:variant>
      <vt:variant>
        <vt:i4>20</vt:i4>
      </vt:variant>
      <vt:variant>
        <vt:i4>0</vt:i4>
      </vt:variant>
      <vt:variant>
        <vt:i4>5</vt:i4>
      </vt:variant>
      <vt:variant>
        <vt:lpwstr/>
      </vt:variant>
      <vt:variant>
        <vt:lpwstr>_Toc441761250</vt:lpwstr>
      </vt:variant>
      <vt:variant>
        <vt:i4>1114161</vt:i4>
      </vt:variant>
      <vt:variant>
        <vt:i4>14</vt:i4>
      </vt:variant>
      <vt:variant>
        <vt:i4>0</vt:i4>
      </vt:variant>
      <vt:variant>
        <vt:i4>5</vt:i4>
      </vt:variant>
      <vt:variant>
        <vt:lpwstr/>
      </vt:variant>
      <vt:variant>
        <vt:lpwstr>_Toc441761249</vt:lpwstr>
      </vt:variant>
      <vt:variant>
        <vt:i4>1114161</vt:i4>
      </vt:variant>
      <vt:variant>
        <vt:i4>8</vt:i4>
      </vt:variant>
      <vt:variant>
        <vt:i4>0</vt:i4>
      </vt:variant>
      <vt:variant>
        <vt:i4>5</vt:i4>
      </vt:variant>
      <vt:variant>
        <vt:lpwstr/>
      </vt:variant>
      <vt:variant>
        <vt:lpwstr>_Toc441761248</vt:lpwstr>
      </vt:variant>
      <vt:variant>
        <vt:i4>1114161</vt:i4>
      </vt:variant>
      <vt:variant>
        <vt:i4>2</vt:i4>
      </vt:variant>
      <vt:variant>
        <vt:i4>0</vt:i4>
      </vt:variant>
      <vt:variant>
        <vt:i4>5</vt:i4>
      </vt:variant>
      <vt:variant>
        <vt:lpwstr/>
      </vt:variant>
      <vt:variant>
        <vt:lpwstr>_Toc441761247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Superintendencia de Casinos de Juego.</dc:creator>
  <cp:lastModifiedBy>José Silva Domínguez</cp:lastModifiedBy>
  <cp:revision>2</cp:revision>
  <cp:lastPrinted>2016-04-13T18:55:00Z</cp:lastPrinted>
  <dcterms:created xsi:type="dcterms:W3CDTF">2016-04-14T23:03:00Z</dcterms:created>
  <dcterms:modified xsi:type="dcterms:W3CDTF">2016-04-14T23:03:00Z</dcterms:modified>
</cp:coreProperties>
</file>